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C3" w:rsidRPr="00DC1C52" w:rsidRDefault="000869C3" w:rsidP="00475D3C">
      <w:pPr>
        <w:pStyle w:val="Zv-Titlereport"/>
        <w:spacing w:line="230" w:lineRule="auto"/>
      </w:pPr>
      <w:r w:rsidRPr="002D42B9">
        <w:t>Широкополосная генерация плазменных релятивистских источников</w:t>
      </w:r>
      <w:r w:rsidR="00DC1C52" w:rsidRPr="00DC1C52">
        <w:t xml:space="preserve"> </w:t>
      </w:r>
      <w:r w:rsidR="00DC1C52" w:rsidRPr="00DC1C52">
        <w:rPr>
          <w:rStyle w:val="ac"/>
        </w:rPr>
        <w:footnoteReference w:customMarkFollows="1" w:id="1"/>
        <w:t>*)</w:t>
      </w:r>
    </w:p>
    <w:p w:rsidR="000869C3" w:rsidRDefault="000869C3" w:rsidP="00475D3C">
      <w:pPr>
        <w:pStyle w:val="Zv-Author"/>
        <w:spacing w:line="230" w:lineRule="auto"/>
      </w:pPr>
      <w:r>
        <w:t>Иванов И.Е.</w:t>
      </w:r>
    </w:p>
    <w:p w:rsidR="000869C3" w:rsidRPr="000869C3" w:rsidRDefault="000869C3" w:rsidP="00475D3C">
      <w:pPr>
        <w:pStyle w:val="Zv-Organization"/>
        <w:spacing w:line="230" w:lineRule="auto"/>
      </w:pPr>
      <w:r>
        <w:t xml:space="preserve">Институт общей физики имени А.М. Прохорова Российской академии наук, </w:t>
      </w:r>
      <w:r w:rsidRPr="00E52E22">
        <w:t xml:space="preserve">Москва, Россия, </w:t>
      </w:r>
      <w:hyperlink r:id="rId8" w:history="1">
        <w:r w:rsidRPr="00C66D47">
          <w:rPr>
            <w:rStyle w:val="a9"/>
          </w:rPr>
          <w:t>iei@fpl.gpi.ru</w:t>
        </w:r>
      </w:hyperlink>
    </w:p>
    <w:p w:rsidR="000869C3" w:rsidRPr="000869C3" w:rsidRDefault="000869C3" w:rsidP="00475D3C">
      <w:pPr>
        <w:pStyle w:val="Zv-bodyreport"/>
        <w:spacing w:line="230" w:lineRule="auto"/>
      </w:pPr>
      <w:r w:rsidRPr="002D42B9">
        <w:t>П</w:t>
      </w:r>
      <w:r>
        <w:t>л</w:t>
      </w:r>
      <w:r w:rsidRPr="002D42B9">
        <w:t>азменные релятивистские генераторы имеют рекордную полосу генерации и их можно уверенно</w:t>
      </w:r>
      <w:r>
        <w:t xml:space="preserve"> отнести к сверх</w:t>
      </w:r>
      <w:r w:rsidRPr="002D42B9">
        <w:t>широкополосным</w:t>
      </w:r>
      <w:r>
        <w:t xml:space="preserve">. Широкополосность определяется величиной </w:t>
      </w:r>
      <w:r w:rsidRPr="00F903D6">
        <w:rPr>
          <w:i/>
        </w:rPr>
        <w:t>η</w:t>
      </w:r>
      <w:r>
        <w:t xml:space="preserve"> отношения диапазона генерации (ν</w:t>
      </w:r>
      <w:r w:rsidRPr="002D42B9">
        <w:rPr>
          <w:vertAlign w:val="subscript"/>
          <w:lang w:val="en-US"/>
        </w:rPr>
        <w:t>max</w:t>
      </w:r>
      <w:r w:rsidRPr="002D42B9">
        <w:t xml:space="preserve"> – </w:t>
      </w:r>
      <w:r>
        <w:rPr>
          <w:lang w:val="en-US"/>
        </w:rPr>
        <w:t>ν</w:t>
      </w:r>
      <w:r w:rsidRPr="002D42B9">
        <w:rPr>
          <w:vertAlign w:val="subscript"/>
          <w:lang w:val="en-US"/>
        </w:rPr>
        <w:t>min</w:t>
      </w:r>
      <w:r w:rsidRPr="002D42B9">
        <w:t xml:space="preserve">) </w:t>
      </w:r>
      <w:r>
        <w:t>к средней частоте диапазона (ν</w:t>
      </w:r>
      <w:r w:rsidRPr="002D42B9">
        <w:rPr>
          <w:vertAlign w:val="subscript"/>
          <w:lang w:val="en-US"/>
        </w:rPr>
        <w:t>max</w:t>
      </w:r>
      <w:r w:rsidRPr="002D42B9">
        <w:t xml:space="preserve"> </w:t>
      </w:r>
      <w:r>
        <w:t>+</w:t>
      </w:r>
      <w:r w:rsidRPr="002D42B9">
        <w:t xml:space="preserve"> </w:t>
      </w:r>
      <w:r>
        <w:rPr>
          <w:lang w:val="en-US"/>
        </w:rPr>
        <w:t>ν</w:t>
      </w:r>
      <w:r w:rsidRPr="002D42B9">
        <w:rPr>
          <w:vertAlign w:val="subscript"/>
          <w:lang w:val="en-US"/>
        </w:rPr>
        <w:t>min</w:t>
      </w:r>
      <w:r w:rsidRPr="002D42B9">
        <w:t>)</w:t>
      </w:r>
      <w:r>
        <w:t xml:space="preserve">/2. Если этот коэффициент </w:t>
      </w:r>
      <w:r w:rsidRPr="00F903D6">
        <w:rPr>
          <w:i/>
        </w:rPr>
        <w:t>η</w:t>
      </w:r>
      <w:r>
        <w:t xml:space="preserve"> </w:t>
      </w:r>
      <w:r w:rsidRPr="00F903D6">
        <w:t>&gt;</w:t>
      </w:r>
      <w:r>
        <w:t xml:space="preserve"> 0.2, то такой источник относится к сверхширокополосным. </w:t>
      </w:r>
      <w:r w:rsidRPr="00F903D6">
        <w:t xml:space="preserve">Для плазменных приборов </w:t>
      </w:r>
      <w:r w:rsidRPr="00F903D6">
        <w:rPr>
          <w:i/>
        </w:rPr>
        <w:t>η</w:t>
      </w:r>
      <w:r w:rsidRPr="00F903D6">
        <w:t xml:space="preserve"> может достигать значения 1. </w:t>
      </w:r>
      <w:r>
        <w:t xml:space="preserve">Рассматривается широкополосное излучение плазменных релятивистских генераторов с длительностью микроволнового импульса 300 – 500 нс для области частот 1 – 5 ГГц. Такой источник сверхширокополосного излучения является генератором шума. Для шумовых источников важно "качество шума". Речь идёт о полезной шумовой генерации, когда </w:t>
      </w:r>
      <w:r w:rsidRPr="00073DF8">
        <w:t>на любом временном интервале широкополосного импульса ширина полосы генерации будет одинакова</w:t>
      </w:r>
      <w:r>
        <w:t xml:space="preserve">. </w:t>
      </w:r>
      <w:r w:rsidRPr="00073DF8">
        <w:t>Также будет приблизительно одинакова и энергия "шума" на этом интервале.</w:t>
      </w:r>
      <w:r>
        <w:t xml:space="preserve"> Энергия шумовых импульсов плазменных релятивистских источников остаётся равной энергии при работе и в других режимах – в режиме усиления внешнего сигнала и режиме обычной генерации, т.е. достигает 15 – 20 Дж. Для анализа шумовой генерации плазменных релятивистских источников, рис.1, применяется обычное преобразование Фурье и метод мгновенной частоты. </w:t>
      </w:r>
    </w:p>
    <w:p w:rsidR="000869C3" w:rsidRPr="00A20BD6" w:rsidRDefault="000869C3" w:rsidP="00475D3C">
      <w:pPr>
        <w:pStyle w:val="Zv-bodyreport"/>
        <w:spacing w:line="23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5581650" cy="1771650"/>
            <wp:effectExtent l="19050" t="0" r="0" b="0"/>
            <wp:docPr id="2" name="Рисунок 2" descr="D:\Users\sato\Downloads\ivanov_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ato\Downloads\ivanov_i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C3" w:rsidRPr="000869C3" w:rsidRDefault="000869C3" w:rsidP="00475D3C">
      <w:pPr>
        <w:spacing w:line="230" w:lineRule="auto"/>
        <w:ind w:left="851" w:right="849"/>
        <w:rPr>
          <w:sz w:val="21"/>
          <w:szCs w:val="21"/>
        </w:rPr>
      </w:pPr>
      <w:r w:rsidRPr="000869C3">
        <w:rPr>
          <w:sz w:val="21"/>
          <w:szCs w:val="21"/>
        </w:rPr>
        <w:t xml:space="preserve"> Рис. 1. Слева – осциллограмма шумового импульса, справа – Фурье-преобразование за весь временной интервал записи импульса (800 нс).</w:t>
      </w:r>
    </w:p>
    <w:p w:rsidR="000869C3" w:rsidRDefault="000869C3" w:rsidP="00475D3C">
      <w:pPr>
        <w:pStyle w:val="Zv-formula"/>
        <w:spacing w:before="120" w:line="230" w:lineRule="auto"/>
        <w:rPr>
          <w:lang w:val="en-US"/>
        </w:rPr>
      </w:pPr>
      <w:r>
        <w:t xml:space="preserve">Указанные методы позволяют оценить стабильность шумовой генерации во времени и изменение амплитуды шумового импульса, напряжённость электрического поля. Однако для сравнения генерации шумовых импульсов от различных источников или режимов этих характеристик недостаточно. Демонстрируется применение корреляционного анализа с использованием автокорреляционной функции </w:t>
      </w:r>
    </w:p>
    <w:p w:rsidR="000869C3" w:rsidRDefault="000869C3" w:rsidP="00475D3C">
      <w:pPr>
        <w:pStyle w:val="Zv-formula"/>
        <w:spacing w:before="120" w:line="230" w:lineRule="auto"/>
      </w:pPr>
      <w:r>
        <w:tab/>
      </w:r>
      <w:r w:rsidRPr="009F0215">
        <w:rPr>
          <w:position w:val="-30"/>
        </w:rPr>
        <w:object w:dxaOrig="24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6pt" o:ole="">
            <v:imagedata r:id="rId10" o:title=""/>
          </v:shape>
          <o:OLEObject Type="Embed" ProgID="Equation.DSMT4" ShapeID="_x0000_i1025" DrawAspect="Content" ObjectID="_1684323384" r:id="rId11"/>
        </w:object>
      </w:r>
    </w:p>
    <w:p w:rsidR="000869C3" w:rsidRDefault="000869C3" w:rsidP="00475D3C">
      <w:pPr>
        <w:pStyle w:val="Zv-bodyreport"/>
        <w:spacing w:line="230" w:lineRule="auto"/>
      </w:pPr>
      <w:r>
        <w:t xml:space="preserve">Вычисляются коэффициенты корреляции и время корреляции для участков осциллограммы различной длительности. Строятся графики скользящего коэффициента корреляции (скользящая корреляция), вычисляется средний квадрат коэффициентов корреляции в графиках скользящей корреляции. Указанной методикой сравниваются </w:t>
      </w:r>
      <w:r>
        <w:lastRenderedPageBreak/>
        <w:t xml:space="preserve">широкополосные импульсы релятивистского электронного пучка в вакууме и импульса в присутствии плазмы в системе. </w:t>
      </w:r>
    </w:p>
    <w:p w:rsidR="000869C3" w:rsidRPr="002D42B9" w:rsidRDefault="000869C3" w:rsidP="00475D3C">
      <w:pPr>
        <w:pStyle w:val="Zv-bodyreport"/>
        <w:spacing w:line="230" w:lineRule="auto"/>
      </w:pPr>
      <w:r>
        <w:t xml:space="preserve">Работа выполнена в рамках проекта </w:t>
      </w:r>
      <w:r w:rsidRPr="00651D3A">
        <w:t>РФФИ 19-08-00625 А</w:t>
      </w:r>
      <w:r>
        <w:t>.</w:t>
      </w:r>
    </w:p>
    <w:sectPr w:rsidR="000869C3" w:rsidRPr="002D42B9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5C" w:rsidRDefault="00BD565C">
      <w:r>
        <w:separator/>
      </w:r>
    </w:p>
  </w:endnote>
  <w:endnote w:type="continuationSeparator" w:id="0">
    <w:p w:rsidR="00BD565C" w:rsidRDefault="00BD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2A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2A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D3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5C" w:rsidRDefault="00BD565C">
      <w:r>
        <w:separator/>
      </w:r>
    </w:p>
  </w:footnote>
  <w:footnote w:type="continuationSeparator" w:id="0">
    <w:p w:rsidR="00BD565C" w:rsidRDefault="00BD565C">
      <w:r>
        <w:continuationSeparator/>
      </w:r>
    </w:p>
  </w:footnote>
  <w:footnote w:id="1">
    <w:p w:rsidR="00DC1C52" w:rsidRPr="00DC1C52" w:rsidRDefault="00DC1C52">
      <w:pPr>
        <w:pStyle w:val="aa"/>
        <w:rPr>
          <w:sz w:val="22"/>
          <w:szCs w:val="22"/>
          <w:lang w:val="en-US"/>
        </w:rPr>
      </w:pPr>
      <w:r w:rsidRPr="00DC1C52">
        <w:rPr>
          <w:rStyle w:val="ac"/>
          <w:sz w:val="22"/>
          <w:szCs w:val="22"/>
        </w:rPr>
        <w:t>*)</w:t>
      </w:r>
      <w:r w:rsidRPr="00DC1C52">
        <w:rPr>
          <w:sz w:val="22"/>
          <w:szCs w:val="22"/>
        </w:rPr>
        <w:t xml:space="preserve"> </w:t>
      </w:r>
      <w:hyperlink r:id="rId1" w:history="1">
        <w:r w:rsidRPr="00DC1C52">
          <w:rPr>
            <w:rStyle w:val="a9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752A4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565C"/>
    <w:rsid w:val="00037DCC"/>
    <w:rsid w:val="00043701"/>
    <w:rsid w:val="000869C3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75D3C"/>
    <w:rsid w:val="004A77D1"/>
    <w:rsid w:val="004B72AA"/>
    <w:rsid w:val="004F4E29"/>
    <w:rsid w:val="00515F1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52A47"/>
    <w:rsid w:val="007B6378"/>
    <w:rsid w:val="00802D35"/>
    <w:rsid w:val="008E2894"/>
    <w:rsid w:val="0094721E"/>
    <w:rsid w:val="009A461E"/>
    <w:rsid w:val="00A66876"/>
    <w:rsid w:val="00A71613"/>
    <w:rsid w:val="00AB3459"/>
    <w:rsid w:val="00AD7670"/>
    <w:rsid w:val="00B622ED"/>
    <w:rsid w:val="00B9584E"/>
    <w:rsid w:val="00BD05EF"/>
    <w:rsid w:val="00BD565C"/>
    <w:rsid w:val="00C103CD"/>
    <w:rsid w:val="00C232A0"/>
    <w:rsid w:val="00CA791E"/>
    <w:rsid w:val="00CE0E75"/>
    <w:rsid w:val="00D25FC9"/>
    <w:rsid w:val="00D47F19"/>
    <w:rsid w:val="00DA4715"/>
    <w:rsid w:val="00DC1C52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C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0869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69C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869C3"/>
    <w:rPr>
      <w:color w:val="0000FF" w:themeColor="hyperlink"/>
      <w:u w:val="single"/>
    </w:rPr>
  </w:style>
  <w:style w:type="paragraph" w:styleId="aa">
    <w:name w:val="footnote text"/>
    <w:basedOn w:val="a"/>
    <w:link w:val="ab"/>
    <w:rsid w:val="00DC1C5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C1C52"/>
  </w:style>
  <w:style w:type="character" w:styleId="ac">
    <w:name w:val="footnote reference"/>
    <w:basedOn w:val="a0"/>
    <w:rsid w:val="00DC1C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i@fpl.gp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I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BFDAF-B7EF-42F8-BB0C-5AD241A8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282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ШИРОКОПОЛОСНАЯ ГЕНЕРАЦИЯ ПЛАЗМЕННЫХ РЕЛЯТИВИСТСКИХ ИСТОЧНИКОВ</dc:title>
  <dc:creator>sato</dc:creator>
  <cp:lastModifiedBy>Сатунин</cp:lastModifiedBy>
  <cp:revision>4</cp:revision>
  <cp:lastPrinted>1601-01-01T00:00:00Z</cp:lastPrinted>
  <dcterms:created xsi:type="dcterms:W3CDTF">2021-01-25T16:40:00Z</dcterms:created>
  <dcterms:modified xsi:type="dcterms:W3CDTF">2021-06-04T11:50:00Z</dcterms:modified>
</cp:coreProperties>
</file>