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19" w:rsidRDefault="00BD6619" w:rsidP="00BD6619">
      <w:pPr>
        <w:pStyle w:val="Zv-Titlereport"/>
      </w:pPr>
      <w:r w:rsidRPr="00A716C6">
        <w:t>МОДЕЛИРОВАНИЕ ДИНАМИКИ ПЛАЗМЫ В УСТАНОВКАХ С ПЛАЗМЕННЫМ</w:t>
      </w:r>
      <w:r>
        <w:t xml:space="preserve"> фокусом</w:t>
      </w:r>
      <w:r w:rsidRPr="00A716C6">
        <w:t xml:space="preserve"> </w:t>
      </w:r>
      <w:r w:rsidR="00DD321F">
        <w:rPr>
          <w:rStyle w:val="aa"/>
        </w:rPr>
        <w:footnoteReference w:customMarkFollows="1" w:id="1"/>
        <w:t>*)</w:t>
      </w:r>
    </w:p>
    <w:p w:rsidR="00BD6619" w:rsidRPr="0071568F" w:rsidRDefault="00BD6619" w:rsidP="00BD6619">
      <w:pPr>
        <w:pStyle w:val="Zv-Author"/>
      </w:pPr>
      <w:r w:rsidRPr="00A716C6">
        <w:t>Ананьев С.С., Суслин С.В</w:t>
      </w:r>
      <w:r w:rsidR="0071568F" w:rsidRPr="0071568F">
        <w:t>.</w:t>
      </w:r>
    </w:p>
    <w:p w:rsidR="00BD6619" w:rsidRDefault="00BD6619" w:rsidP="00BD6619">
      <w:pPr>
        <w:pStyle w:val="Zv-Organization"/>
      </w:pPr>
      <w:r w:rsidRPr="00A716C6">
        <w:t>НИЦ «Курчатовский институт»</w:t>
      </w:r>
      <w:r>
        <w:t xml:space="preserve"> </w:t>
      </w:r>
      <w:hyperlink r:id="rId8" w:history="1">
        <w:r w:rsidRPr="00487E30">
          <w:rPr>
            <w:rStyle w:val="a7"/>
          </w:rPr>
          <w:t>suslin_sv@nrcki.ru</w:t>
        </w:r>
      </w:hyperlink>
      <w:r w:rsidRPr="00A716C6">
        <w:t xml:space="preserve"> </w:t>
      </w:r>
    </w:p>
    <w:p w:rsidR="00BD6619" w:rsidRDefault="00BD6619" w:rsidP="00BD6619">
      <w:pPr>
        <w:pStyle w:val="Zv-bodyreport"/>
      </w:pPr>
      <w:r w:rsidRPr="00A716C6">
        <w:t>В работе излагается подход к численному моделированию аксиального плазменного потока в плазмофокусных установках в рамках двумерной одножидкостной МГД-модели. Ранее</w:t>
      </w:r>
      <w:r>
        <w:t xml:space="preserve">, используемая МГД-модель хорошо зарекомендовала себя при моделировании движения токонесущей плазменной оболочки (ТПО) до образования плазменного фокуса </w:t>
      </w:r>
      <w:r w:rsidRPr="00405386">
        <w:t>[</w:t>
      </w:r>
      <w:r>
        <w:t>1</w:t>
      </w:r>
      <w:r w:rsidRPr="00405386">
        <w:t>]</w:t>
      </w:r>
      <w:r>
        <w:t>, в том числедля таких газов, как дейтерий, неон, аргон и дейтерий-ксеноновая смесь</w:t>
      </w:r>
      <w:r w:rsidRPr="00405386">
        <w:t xml:space="preserve"> [</w:t>
      </w:r>
      <w:r>
        <w:t>2</w:t>
      </w:r>
      <w:r w:rsidRPr="00405386">
        <w:t>]</w:t>
      </w:r>
      <w:r>
        <w:t>. В данной работе, та же модель была применена к процессу распространения</w:t>
      </w:r>
      <w:r w:rsidRPr="00A716C6">
        <w:t xml:space="preserve"> плазменной струи</w:t>
      </w:r>
      <w:r>
        <w:t xml:space="preserve">. Поскольку </w:t>
      </w:r>
      <w:r w:rsidRPr="00A716C6">
        <w:t>в рамках используемых приближений, невозможно достоверно моделировать динамику плотного пинча</w:t>
      </w:r>
      <w:r>
        <w:t>, прямое продолжение моделирование разряда после образования пинча, в рамках данной модели, не может быть реализовано. В связи с этим необходимо корректно установить начальные условия для моделирования распространения плазменного потока</w:t>
      </w:r>
      <w:r w:rsidRPr="00A716C6">
        <w:t>.</w:t>
      </w:r>
    </w:p>
    <w:p w:rsidR="00BD6619" w:rsidRDefault="00BD6619" w:rsidP="00BD6619">
      <w:pPr>
        <w:pStyle w:val="Zv-bodyreport"/>
      </w:pPr>
      <w:r>
        <w:t xml:space="preserve">В данной работе было проведено моделирование динамики плазменного потока в диапазоне начальных условий, полученных из моделирования сжатия ТПО и экспериментальных измерений. В связи с тем, что возможности </w:t>
      </w:r>
      <w:r w:rsidRPr="00A716C6">
        <w:t xml:space="preserve">измерения вблизи плотного пинча </w:t>
      </w:r>
      <w:r>
        <w:t>весьма ограничены, была поставлена и решена обратная задача восстановления начальной скорости потока по экспериментальным наблюдениям за его динамикой на удалении 15-95 см, опубликованным в литературе. Полученные значения сравнивались с прямыми измерениями в прианодной области (0,5-1,0⸱10</w:t>
      </w:r>
      <w:r w:rsidRPr="002459D6">
        <w:rPr>
          <w:vertAlign w:val="superscript"/>
        </w:rPr>
        <w:t>7</w:t>
      </w:r>
      <w:r>
        <w:t xml:space="preserve"> см/с) </w:t>
      </w:r>
      <w:r w:rsidRPr="001A2094">
        <w:t>[</w:t>
      </w:r>
      <w:r>
        <w:t>3</w:t>
      </w:r>
      <w:r w:rsidRPr="001A2094">
        <w:t>]</w:t>
      </w:r>
      <w:r>
        <w:t xml:space="preserve"> и были использованы в дальнейшем моделировании.</w:t>
      </w:r>
    </w:p>
    <w:p w:rsidR="00BD6619" w:rsidRDefault="00BD6619" w:rsidP="00BD6619">
      <w:pPr>
        <w:pStyle w:val="Zv-bodyreport"/>
      </w:pPr>
      <w:r w:rsidRPr="00A716C6">
        <w:t xml:space="preserve">Предложенный подход был применен </w:t>
      </w:r>
      <w:r>
        <w:t>для</w:t>
      </w:r>
      <w:r w:rsidRPr="00A716C6">
        <w:t xml:space="preserve"> моделировани</w:t>
      </w:r>
      <w:r>
        <w:t>я</w:t>
      </w:r>
      <w:r w:rsidRPr="00A716C6">
        <w:t xml:space="preserve"> плазменных потоков </w:t>
      </w:r>
      <w:r>
        <w:t>на</w:t>
      </w:r>
      <w:r w:rsidRPr="00A716C6">
        <w:t xml:space="preserve"> установках ПФ-3</w:t>
      </w:r>
      <w:r>
        <w:t xml:space="preserve"> и</w:t>
      </w:r>
      <w:r w:rsidRPr="00A716C6">
        <w:t xml:space="preserve"> КПФ-4. </w:t>
      </w:r>
      <w:r>
        <w:t xml:space="preserve">Полученные результаты демонстрируют хорошее соответствие с экспериментальными измерениями скорости распространения потока в фоновом газе, величины захваченного магнитного поля и его радиального распределения в потоке, а также формы головной части потока. Было показано, что путем сопоставления с экспериментальными данными нескольких различных диагностических систем (например, </w:t>
      </w:r>
      <w:r w:rsidRPr="00A716C6">
        <w:t>оптически</w:t>
      </w:r>
      <w:r>
        <w:t>х</w:t>
      </w:r>
      <w:r w:rsidRPr="00A716C6">
        <w:t xml:space="preserve"> коллиматор</w:t>
      </w:r>
      <w:r>
        <w:t>ов</w:t>
      </w:r>
      <w:r w:rsidRPr="00A716C6">
        <w:t>, магнитны</w:t>
      </w:r>
      <w:r>
        <w:t>х</w:t>
      </w:r>
      <w:r w:rsidRPr="00A716C6">
        <w:t xml:space="preserve"> зонд</w:t>
      </w:r>
      <w:r>
        <w:t>ов</w:t>
      </w:r>
      <w:r w:rsidRPr="00A716C6">
        <w:t>, кадровы</w:t>
      </w:r>
      <w:r>
        <w:t>х</w:t>
      </w:r>
      <w:r w:rsidRPr="00A716C6">
        <w:t xml:space="preserve"> </w:t>
      </w:r>
      <w:r>
        <w:t xml:space="preserve">скоростных </w:t>
      </w:r>
      <w:r w:rsidRPr="00A716C6">
        <w:t>фотографи</w:t>
      </w:r>
      <w:r>
        <w:t>й) возможно однозначно определить все варьируемые при моделировании параметры. М</w:t>
      </w:r>
      <w:r w:rsidRPr="00A716C6">
        <w:t>оделирование</w:t>
      </w:r>
      <w:r>
        <w:t xml:space="preserve"> показало значительное влияние на динамику распространения потока металлических диафрагм на его пути для установки ПФ-3</w:t>
      </w:r>
      <w:r w:rsidRPr="00A716C6">
        <w:t xml:space="preserve">, </w:t>
      </w:r>
      <w:r>
        <w:t xml:space="preserve">а также </w:t>
      </w:r>
      <w:r w:rsidRPr="00A716C6">
        <w:t xml:space="preserve">позволило выделить два </w:t>
      </w:r>
      <w:r>
        <w:t xml:space="preserve">характерных механизма распространения плазменного потока, каждый из которых является преобладающим </w:t>
      </w:r>
      <w:r w:rsidRPr="00A716C6">
        <w:t>на различных этапах движения плазменной струи</w:t>
      </w:r>
      <w:r>
        <w:t xml:space="preserve"> (удалении от места формирования)</w:t>
      </w:r>
      <w:r w:rsidRPr="00A716C6">
        <w:t>.</w:t>
      </w:r>
    </w:p>
    <w:p w:rsidR="00BD6619" w:rsidRDefault="00BD6619" w:rsidP="00BD6619">
      <w:pPr>
        <w:pStyle w:val="Zv-TitleReferences-ru"/>
      </w:pPr>
      <w:r>
        <w:t>Литература</w:t>
      </w:r>
    </w:p>
    <w:p w:rsidR="00BD6619" w:rsidRDefault="00BD6619" w:rsidP="00BD6619">
      <w:pPr>
        <w:pStyle w:val="Zv-References-ru"/>
        <w:numPr>
          <w:ilvl w:val="0"/>
          <w:numId w:val="1"/>
        </w:numPr>
      </w:pPr>
      <w:r w:rsidRPr="00E00E6F">
        <w:t xml:space="preserve">С.С. Ананьев, С.В. Суслин, А.М. Харрасов // ВАНТ. Сер. Термоядерный синтез, 2016, т. 39, вып. 2, </w:t>
      </w:r>
      <w:r>
        <w:t>с. 69-80</w:t>
      </w:r>
    </w:p>
    <w:p w:rsidR="00BD6619" w:rsidRDefault="00BD6619" w:rsidP="00BD6619">
      <w:pPr>
        <w:pStyle w:val="Zv-References-ru"/>
        <w:numPr>
          <w:ilvl w:val="0"/>
          <w:numId w:val="1"/>
        </w:numPr>
      </w:pPr>
      <w:r w:rsidRPr="00E00E6F">
        <w:t xml:space="preserve">С.С. Ананьев, С.В. Суслин, А.М. Харрасов // ВАНТ. Сер. Термоядерный синтез, 2017, т. 40, вып. 3, </w:t>
      </w:r>
      <w:r>
        <w:rPr>
          <w:lang w:val="en-US"/>
        </w:rPr>
        <w:t>c</w:t>
      </w:r>
      <w:r w:rsidRPr="00E00E6F">
        <w:t>. 37-48</w:t>
      </w:r>
    </w:p>
    <w:p w:rsidR="00BD6619" w:rsidRPr="0075377F" w:rsidRDefault="00BD6619" w:rsidP="00BD6619">
      <w:pPr>
        <w:pStyle w:val="Zv-References-ru"/>
        <w:numPr>
          <w:ilvl w:val="0"/>
          <w:numId w:val="1"/>
        </w:numPr>
      </w:pPr>
      <w:r w:rsidRPr="00B11912">
        <w:t>С.С. Ананьев, В.И. Крауз, В.В. Мялтон, А.М. Харрасов // ВАНТ. Сер. Термоядерный синтез, 2017, т. 40, вып. 1,</w:t>
      </w:r>
      <w:r>
        <w:t xml:space="preserve"> с. 29-35.</w:t>
      </w:r>
      <w:r w:rsidRPr="00B11912">
        <w:t xml:space="preserve"> DOI: 10.21517/0202-3822-2017-40-1-21-35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C2" w:rsidRDefault="005574C2">
      <w:r>
        <w:separator/>
      </w:r>
    </w:p>
  </w:endnote>
  <w:endnote w:type="continuationSeparator" w:id="0">
    <w:p w:rsidR="005574C2" w:rsidRDefault="00557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6B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6B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032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C2" w:rsidRDefault="005574C2">
      <w:r>
        <w:separator/>
      </w:r>
    </w:p>
  </w:footnote>
  <w:footnote w:type="continuationSeparator" w:id="0">
    <w:p w:rsidR="005574C2" w:rsidRDefault="005574C2">
      <w:r>
        <w:continuationSeparator/>
      </w:r>
    </w:p>
  </w:footnote>
  <w:footnote w:id="1">
    <w:p w:rsidR="00DD321F" w:rsidRPr="00DD321F" w:rsidRDefault="00DD321F">
      <w:pPr>
        <w:pStyle w:val="a8"/>
        <w:rPr>
          <w:sz w:val="22"/>
          <w:szCs w:val="22"/>
          <w:lang w:val="en-US"/>
        </w:rPr>
      </w:pPr>
      <w:r w:rsidRPr="00DD321F">
        <w:rPr>
          <w:rStyle w:val="aa"/>
          <w:sz w:val="22"/>
          <w:szCs w:val="22"/>
        </w:rPr>
        <w:t>*)</w:t>
      </w:r>
      <w:r w:rsidRPr="00DD321F">
        <w:rPr>
          <w:sz w:val="22"/>
          <w:szCs w:val="22"/>
        </w:rPr>
        <w:t xml:space="preserve">  </w:t>
      </w:r>
      <w:hyperlink r:id="rId1" w:history="1">
        <w:r w:rsidRPr="00DD321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A6B3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568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74C2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1568F"/>
    <w:rsid w:val="00732A2E"/>
    <w:rsid w:val="007B6378"/>
    <w:rsid w:val="00802D35"/>
    <w:rsid w:val="008A6B39"/>
    <w:rsid w:val="008A77E9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BD6619"/>
    <w:rsid w:val="00C103CD"/>
    <w:rsid w:val="00C232A0"/>
    <w:rsid w:val="00C90441"/>
    <w:rsid w:val="00CA0324"/>
    <w:rsid w:val="00CA791E"/>
    <w:rsid w:val="00CE0E75"/>
    <w:rsid w:val="00D47F19"/>
    <w:rsid w:val="00DA4715"/>
    <w:rsid w:val="00DD321F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D6619"/>
    <w:rPr>
      <w:color w:val="0000FF"/>
      <w:u w:val="single"/>
    </w:rPr>
  </w:style>
  <w:style w:type="paragraph" w:styleId="a8">
    <w:name w:val="footnote text"/>
    <w:basedOn w:val="a"/>
    <w:link w:val="a9"/>
    <w:rsid w:val="00DD321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D321F"/>
  </w:style>
  <w:style w:type="character" w:styleId="aa">
    <w:name w:val="footnote reference"/>
    <w:basedOn w:val="a0"/>
    <w:rsid w:val="00DD32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in_sv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E-Susl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638A-B1FF-4EEB-8BE2-ABF1F7A3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367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ДИНАМИКИ ПЛАЗМЫ В УСТАНОВКАХ С ПЛАЗМЕННЫМ ФОКУСОМ</dc:title>
  <dc:creator/>
  <cp:lastModifiedBy>Сатунин</cp:lastModifiedBy>
  <cp:revision>4</cp:revision>
  <cp:lastPrinted>1601-01-01T00:00:00Z</cp:lastPrinted>
  <dcterms:created xsi:type="dcterms:W3CDTF">2021-01-20T14:37:00Z</dcterms:created>
  <dcterms:modified xsi:type="dcterms:W3CDTF">2021-05-28T11:45:00Z</dcterms:modified>
</cp:coreProperties>
</file>