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E3" w:rsidRDefault="006023A3" w:rsidP="008E30E3">
      <w:pPr>
        <w:pStyle w:val="Zv-Titlereport"/>
        <w:rPr>
          <w:lang w:val="en-US"/>
        </w:rPr>
      </w:pPr>
      <w:r w:rsidRPr="006023A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502E2" w:rsidRPr="0095603D" w:rsidRDefault="00B502E2" w:rsidP="003B6459">
                  <w:pPr>
                    <w:spacing w:before="80"/>
                    <w:rPr>
                      <w:sz w:val="22"/>
                      <w:szCs w:val="22"/>
                    </w:rPr>
                  </w:pPr>
                  <w:r w:rsidRPr="0095603D">
                    <w:rPr>
                      <w:sz w:val="22"/>
                      <w:szCs w:val="22"/>
                    </w:rPr>
                    <w:t>DOI:</w:t>
                  </w:r>
                  <w:r>
                    <w:rPr>
                      <w:sz w:val="22"/>
                      <w:szCs w:val="22"/>
                    </w:rPr>
                    <w:t xml:space="preserve"> </w:t>
                  </w:r>
                  <w:r w:rsidRPr="00B502E2">
                    <w:rPr>
                      <w:sz w:val="22"/>
                      <w:szCs w:val="22"/>
                    </w:rPr>
                    <w:t>10.34854/ICPAF.2021.48.1.200</w:t>
                  </w:r>
                </w:p>
              </w:txbxContent>
            </v:textbox>
            <w10:anchorlock/>
          </v:shape>
        </w:pict>
      </w:r>
      <w:r w:rsidR="008E30E3">
        <w:rPr>
          <w:lang w:val="en-US"/>
        </w:rPr>
        <w:t>present status of works in budker institute sb ras on iter diagnostic ports integration</w:t>
      </w:r>
      <w:r w:rsidR="00B502E2">
        <w:rPr>
          <w:lang w:val="en-US"/>
        </w:rPr>
        <w:t xml:space="preserve"> </w:t>
      </w:r>
      <w:r w:rsidR="00B502E2">
        <w:rPr>
          <w:rStyle w:val="aa"/>
          <w:lang w:val="en-US"/>
        </w:rPr>
        <w:footnoteReference w:customMarkFollows="1" w:id="1"/>
        <w:t>*)</w:t>
      </w:r>
    </w:p>
    <w:p w:rsidR="008E30E3" w:rsidRDefault="008E30E3" w:rsidP="008E30E3">
      <w:pPr>
        <w:pStyle w:val="Zv-Author"/>
        <w:rPr>
          <w:lang w:val="en-US"/>
        </w:rPr>
      </w:pPr>
      <w:r w:rsidRPr="007827BA">
        <w:rPr>
          <w:vertAlign w:val="superscript"/>
          <w:lang w:val="en-US"/>
        </w:rPr>
        <w:t>2</w:t>
      </w:r>
      <w:r>
        <w:rPr>
          <w:lang w:val="en-US"/>
        </w:rPr>
        <w:t>Alexandrov</w:t>
      </w:r>
      <w:r w:rsidRPr="008E30E3">
        <w:rPr>
          <w:lang w:val="en-US"/>
        </w:rPr>
        <w:t xml:space="preserve"> </w:t>
      </w:r>
      <w:r>
        <w:rPr>
          <w:lang w:val="en-US"/>
        </w:rPr>
        <w:t>E.</w:t>
      </w:r>
      <w:r w:rsidRPr="00210EC3">
        <w:rPr>
          <w:lang w:val="en-US"/>
        </w:rPr>
        <w:t xml:space="preserve">, </w:t>
      </w:r>
      <w:r w:rsidRPr="007827BA">
        <w:rPr>
          <w:vertAlign w:val="superscript"/>
          <w:lang w:val="en-US"/>
        </w:rPr>
        <w:t>1,4</w:t>
      </w:r>
      <w:r>
        <w:rPr>
          <w:lang w:val="en-US"/>
        </w:rPr>
        <w:t>Burdakov</w:t>
      </w:r>
      <w:r w:rsidRPr="008E30E3">
        <w:rPr>
          <w:lang w:val="en-US"/>
        </w:rPr>
        <w:t xml:space="preserve"> </w:t>
      </w:r>
      <w:r>
        <w:rPr>
          <w:lang w:val="en-US"/>
        </w:rPr>
        <w:t>A.</w:t>
      </w:r>
      <w:r w:rsidRPr="00210EC3">
        <w:rPr>
          <w:lang w:val="en-US"/>
        </w:rPr>
        <w:t xml:space="preserve">, </w:t>
      </w:r>
      <w:r>
        <w:rPr>
          <w:vertAlign w:val="superscript"/>
          <w:lang w:val="en-US"/>
        </w:rPr>
        <w:t>3</w:t>
      </w:r>
      <w:r w:rsidRPr="000657DC">
        <w:rPr>
          <w:lang w:val="en-US"/>
        </w:rPr>
        <w:t>Buslakov</w:t>
      </w:r>
      <w:r w:rsidRPr="008E30E3">
        <w:rPr>
          <w:lang w:val="en-US"/>
        </w:rPr>
        <w:t xml:space="preserve"> </w:t>
      </w:r>
      <w:r>
        <w:rPr>
          <w:lang w:val="en-US"/>
        </w:rPr>
        <w:t>I.</w:t>
      </w:r>
      <w:r w:rsidRPr="00210EC3">
        <w:rPr>
          <w:lang w:val="en-US"/>
        </w:rPr>
        <w:t>,</w:t>
      </w:r>
      <w:r w:rsidRPr="008E30E3">
        <w:rPr>
          <w:lang w:val="en-US"/>
        </w:rPr>
        <w:t xml:space="preserve"> </w:t>
      </w:r>
      <w:r w:rsidRPr="007827BA">
        <w:rPr>
          <w:vertAlign w:val="superscript"/>
          <w:lang w:val="en-US"/>
        </w:rPr>
        <w:t>2</w:t>
      </w:r>
      <w:r>
        <w:rPr>
          <w:lang w:val="en-US"/>
        </w:rPr>
        <w:t>Vysokih</w:t>
      </w:r>
      <w:r w:rsidRPr="008E30E3">
        <w:rPr>
          <w:lang w:val="en-US"/>
        </w:rPr>
        <w:t xml:space="preserve"> </w:t>
      </w:r>
      <w:r w:rsidRPr="008D7246">
        <w:rPr>
          <w:lang w:val="en-US"/>
        </w:rPr>
        <w:t>Yu</w:t>
      </w:r>
      <w:r>
        <w:rPr>
          <w:lang w:val="en-US"/>
        </w:rPr>
        <w:t>.,</w:t>
      </w:r>
      <w:r w:rsidRPr="00210EC3">
        <w:rPr>
          <w:lang w:val="en-US"/>
        </w:rPr>
        <w:t xml:space="preserve"> </w:t>
      </w:r>
      <w:r>
        <w:rPr>
          <w:vertAlign w:val="superscript"/>
          <w:lang w:val="en-US"/>
        </w:rPr>
        <w:t>1</w:t>
      </w:r>
      <w:r w:rsidRPr="000657DC">
        <w:rPr>
          <w:lang w:val="en-US"/>
        </w:rPr>
        <w:t>Gorbovsky</w:t>
      </w:r>
      <w:r w:rsidRPr="008E30E3">
        <w:rPr>
          <w:lang w:val="en-US"/>
        </w:rPr>
        <w:t xml:space="preserve"> </w:t>
      </w:r>
      <w:r>
        <w:rPr>
          <w:lang w:val="en-US"/>
        </w:rPr>
        <w:t>A.</w:t>
      </w:r>
      <w:r w:rsidRPr="00210EC3">
        <w:rPr>
          <w:lang w:val="en-US"/>
        </w:rPr>
        <w:t xml:space="preserve">, </w:t>
      </w:r>
      <w:r>
        <w:rPr>
          <w:vertAlign w:val="superscript"/>
          <w:lang w:val="en-US"/>
        </w:rPr>
        <w:t>1</w:t>
      </w:r>
      <w:r w:rsidRPr="000657DC">
        <w:rPr>
          <w:lang w:val="en-US"/>
        </w:rPr>
        <w:t>Zaitsev</w:t>
      </w:r>
      <w:r w:rsidRPr="008E30E3">
        <w:rPr>
          <w:lang w:val="en-US"/>
        </w:rPr>
        <w:t xml:space="preserve"> </w:t>
      </w:r>
      <w:r>
        <w:rPr>
          <w:lang w:val="en-US"/>
        </w:rPr>
        <w:t>E.</w:t>
      </w:r>
      <w:r w:rsidRPr="00210EC3">
        <w:rPr>
          <w:lang w:val="en-US"/>
        </w:rPr>
        <w:t xml:space="preserve">, </w:t>
      </w:r>
      <w:r>
        <w:rPr>
          <w:vertAlign w:val="superscript"/>
          <w:lang w:val="en-US"/>
        </w:rPr>
        <w:t>1</w:t>
      </w:r>
      <w:r w:rsidRPr="0068007D">
        <w:rPr>
          <w:lang w:val="en-US"/>
        </w:rPr>
        <w:t>Zemlyanskiy Yu</w:t>
      </w:r>
      <w:r>
        <w:rPr>
          <w:lang w:val="en-US"/>
        </w:rPr>
        <w:t>.,</w:t>
      </w:r>
      <w:r w:rsidRPr="008E30E3">
        <w:rPr>
          <w:lang w:val="en-US"/>
        </w:rPr>
        <w:t xml:space="preserve"> </w:t>
      </w:r>
      <w:r>
        <w:rPr>
          <w:vertAlign w:val="superscript"/>
          <w:lang w:val="en-US"/>
        </w:rPr>
        <w:t>1</w:t>
      </w:r>
      <w:r w:rsidRPr="000657DC">
        <w:rPr>
          <w:lang w:val="en-US"/>
        </w:rPr>
        <w:t>Ivantsivsk</w:t>
      </w:r>
      <w:r>
        <w:rPr>
          <w:lang w:val="en-US"/>
        </w:rPr>
        <w:t>i</w:t>
      </w:r>
      <w:r w:rsidRPr="000657DC">
        <w:rPr>
          <w:lang w:val="en-US"/>
        </w:rPr>
        <w:t>y</w:t>
      </w:r>
      <w:r w:rsidRPr="008E30E3">
        <w:rPr>
          <w:lang w:val="en-US"/>
        </w:rPr>
        <w:t xml:space="preserve"> </w:t>
      </w:r>
      <w:r>
        <w:rPr>
          <w:lang w:val="en-US"/>
        </w:rPr>
        <w:t>M.</w:t>
      </w:r>
      <w:r w:rsidRPr="00210EC3">
        <w:rPr>
          <w:lang w:val="en-US"/>
        </w:rPr>
        <w:t>,</w:t>
      </w:r>
      <w:r w:rsidRPr="007827BA">
        <w:rPr>
          <w:lang w:val="en-US"/>
        </w:rPr>
        <w:t xml:space="preserve"> </w:t>
      </w:r>
      <w:r>
        <w:rPr>
          <w:vertAlign w:val="superscript"/>
          <w:lang w:val="en-US"/>
        </w:rPr>
        <w:t>3</w:t>
      </w:r>
      <w:r w:rsidRPr="007827BA">
        <w:rPr>
          <w:lang w:val="en-US"/>
        </w:rPr>
        <w:t>Kirienko</w:t>
      </w:r>
      <w:r w:rsidRPr="008E30E3">
        <w:rPr>
          <w:lang w:val="en-US"/>
        </w:rPr>
        <w:t xml:space="preserve"> </w:t>
      </w:r>
      <w:r>
        <w:rPr>
          <w:lang w:val="en-US"/>
        </w:rPr>
        <w:t>I.,</w:t>
      </w:r>
      <w:r w:rsidRPr="00210EC3">
        <w:rPr>
          <w:lang w:val="en-US"/>
        </w:rPr>
        <w:t xml:space="preserve"> </w:t>
      </w:r>
      <w:r w:rsidRPr="008E30E3">
        <w:rPr>
          <w:vertAlign w:val="superscript"/>
          <w:lang w:val="en-US"/>
        </w:rPr>
        <w:t>1</w:t>
      </w:r>
      <w:r w:rsidRPr="000657DC">
        <w:rPr>
          <w:u w:val="single"/>
          <w:lang w:val="en-US"/>
        </w:rPr>
        <w:t>Listopad</w:t>
      </w:r>
      <w:r w:rsidRPr="008E30E3">
        <w:rPr>
          <w:u w:val="single"/>
          <w:lang w:val="en-US"/>
        </w:rPr>
        <w:t xml:space="preserve"> </w:t>
      </w:r>
      <w:r>
        <w:rPr>
          <w:u w:val="single"/>
          <w:lang w:val="en-US"/>
        </w:rPr>
        <w:t>A.</w:t>
      </w:r>
      <w:r w:rsidRPr="00210EC3">
        <w:rPr>
          <w:lang w:val="en-US"/>
        </w:rPr>
        <w:t xml:space="preserve">, </w:t>
      </w:r>
      <w:r>
        <w:rPr>
          <w:vertAlign w:val="superscript"/>
          <w:lang w:val="en-US"/>
        </w:rPr>
        <w:t>3</w:t>
      </w:r>
      <w:r>
        <w:rPr>
          <w:lang w:val="en-US"/>
        </w:rPr>
        <w:t>Login</w:t>
      </w:r>
      <w:r w:rsidRPr="000657DC">
        <w:rPr>
          <w:lang w:val="en-US"/>
        </w:rPr>
        <w:t>ov</w:t>
      </w:r>
      <w:r w:rsidRPr="008E30E3">
        <w:rPr>
          <w:lang w:val="en-US"/>
        </w:rPr>
        <w:t xml:space="preserve"> </w:t>
      </w:r>
      <w:r>
        <w:rPr>
          <w:lang w:val="en-US"/>
        </w:rPr>
        <w:t>I.</w:t>
      </w:r>
      <w:r w:rsidRPr="00210EC3">
        <w:rPr>
          <w:lang w:val="en-US"/>
        </w:rPr>
        <w:t>,</w:t>
      </w:r>
      <w:r>
        <w:rPr>
          <w:lang w:val="en-US"/>
        </w:rPr>
        <w:t xml:space="preserve"> </w:t>
      </w:r>
      <w:r>
        <w:rPr>
          <w:vertAlign w:val="superscript"/>
          <w:lang w:val="en-US"/>
        </w:rPr>
        <w:t>3</w:t>
      </w:r>
      <w:r w:rsidRPr="007827BA">
        <w:rPr>
          <w:lang w:val="en-US"/>
        </w:rPr>
        <w:t>Lobachev</w:t>
      </w:r>
      <w:r>
        <w:rPr>
          <w:lang w:val="en-US"/>
        </w:rPr>
        <w:t xml:space="preserve"> A., </w:t>
      </w:r>
      <w:r>
        <w:rPr>
          <w:vertAlign w:val="superscript"/>
          <w:lang w:val="en-US"/>
        </w:rPr>
        <w:t>1</w:t>
      </w:r>
      <w:r>
        <w:rPr>
          <w:lang w:val="en-US"/>
        </w:rPr>
        <w:t>Manaenkova</w:t>
      </w:r>
      <w:r w:rsidRPr="008E30E3">
        <w:rPr>
          <w:lang w:val="en-US"/>
        </w:rPr>
        <w:t xml:space="preserve"> </w:t>
      </w:r>
      <w:r>
        <w:rPr>
          <w:lang w:val="en-US"/>
        </w:rPr>
        <w:t>Yu.</w:t>
      </w:r>
      <w:r w:rsidRPr="00210EC3">
        <w:rPr>
          <w:lang w:val="en-US"/>
        </w:rPr>
        <w:t xml:space="preserve">, </w:t>
      </w:r>
      <w:r>
        <w:rPr>
          <w:vertAlign w:val="superscript"/>
          <w:lang w:val="en-US"/>
        </w:rPr>
        <w:t>3</w:t>
      </w:r>
      <w:r w:rsidRPr="000657DC">
        <w:rPr>
          <w:lang w:val="en-US"/>
        </w:rPr>
        <w:t>Modestov</w:t>
      </w:r>
      <w:r w:rsidRPr="008E30E3">
        <w:rPr>
          <w:lang w:val="en-US"/>
        </w:rPr>
        <w:t xml:space="preserve"> </w:t>
      </w:r>
      <w:r>
        <w:rPr>
          <w:lang w:val="en-US"/>
        </w:rPr>
        <w:t>V.</w:t>
      </w:r>
      <w:r w:rsidRPr="00210EC3">
        <w:rPr>
          <w:lang w:val="en-US"/>
        </w:rPr>
        <w:t>,</w:t>
      </w:r>
      <w:r w:rsidRPr="0068007D">
        <w:rPr>
          <w:lang w:val="en-US"/>
        </w:rPr>
        <w:t xml:space="preserve"> </w:t>
      </w:r>
      <w:r w:rsidRPr="007827BA">
        <w:rPr>
          <w:vertAlign w:val="superscript"/>
          <w:lang w:val="en-US"/>
        </w:rPr>
        <w:t>1</w:t>
      </w:r>
      <w:r w:rsidRPr="0068007D">
        <w:rPr>
          <w:lang w:val="en-US"/>
        </w:rPr>
        <w:t>Noryshev E.,</w:t>
      </w:r>
      <w:r w:rsidRPr="00210EC3">
        <w:rPr>
          <w:lang w:val="en-US"/>
        </w:rPr>
        <w:t xml:space="preserve"> </w:t>
      </w:r>
      <w:r w:rsidRPr="007827BA">
        <w:rPr>
          <w:vertAlign w:val="superscript"/>
          <w:lang w:val="en-US"/>
        </w:rPr>
        <w:t>2</w:t>
      </w:r>
      <w:r>
        <w:rPr>
          <w:lang w:val="en-US"/>
        </w:rPr>
        <w:t>Portnov</w:t>
      </w:r>
      <w:r w:rsidRPr="008E30E3">
        <w:rPr>
          <w:lang w:val="en-US"/>
        </w:rPr>
        <w:t xml:space="preserve"> </w:t>
      </w:r>
      <w:r>
        <w:rPr>
          <w:lang w:val="en-US"/>
        </w:rPr>
        <w:t>D.</w:t>
      </w:r>
      <w:r w:rsidRPr="00210EC3">
        <w:rPr>
          <w:lang w:val="en-US"/>
        </w:rPr>
        <w:t xml:space="preserve">, </w:t>
      </w:r>
      <w:r w:rsidRPr="007827BA">
        <w:rPr>
          <w:vertAlign w:val="superscript"/>
          <w:lang w:val="en-US"/>
        </w:rPr>
        <w:t>2</w:t>
      </w:r>
      <w:r>
        <w:rPr>
          <w:lang w:val="en-US"/>
        </w:rPr>
        <w:t>Rodionov</w:t>
      </w:r>
      <w:r w:rsidRPr="008E30E3">
        <w:rPr>
          <w:lang w:val="en-US"/>
        </w:rPr>
        <w:t xml:space="preserve"> </w:t>
      </w:r>
      <w:r>
        <w:rPr>
          <w:lang w:val="en-US"/>
        </w:rPr>
        <w:t>R.</w:t>
      </w:r>
      <w:r w:rsidRPr="00210EC3">
        <w:rPr>
          <w:lang w:val="en-US"/>
        </w:rPr>
        <w:t xml:space="preserve">, </w:t>
      </w:r>
      <w:r>
        <w:rPr>
          <w:vertAlign w:val="superscript"/>
          <w:lang w:val="en-US"/>
        </w:rPr>
        <w:t>1</w:t>
      </w:r>
      <w:r>
        <w:rPr>
          <w:lang w:val="en-US"/>
        </w:rPr>
        <w:t>Seleznev</w:t>
      </w:r>
      <w:r w:rsidRPr="008E30E3">
        <w:rPr>
          <w:lang w:val="en-US"/>
        </w:rPr>
        <w:t xml:space="preserve"> </w:t>
      </w:r>
      <w:r>
        <w:rPr>
          <w:lang w:val="en-US"/>
        </w:rPr>
        <w:t>P.</w:t>
      </w:r>
      <w:r w:rsidRPr="00210EC3">
        <w:rPr>
          <w:lang w:val="en-US"/>
        </w:rPr>
        <w:t xml:space="preserve">, </w:t>
      </w:r>
      <w:r>
        <w:rPr>
          <w:vertAlign w:val="superscript"/>
          <w:lang w:val="en-US"/>
        </w:rPr>
        <w:t>3</w:t>
      </w:r>
      <w:r>
        <w:rPr>
          <w:lang w:val="en-US"/>
        </w:rPr>
        <w:t>Shagnie</w:t>
      </w:r>
      <w:r w:rsidRPr="000657DC">
        <w:rPr>
          <w:lang w:val="en-US"/>
        </w:rPr>
        <w:t>v</w:t>
      </w:r>
      <w:r w:rsidRPr="008E30E3">
        <w:rPr>
          <w:lang w:val="en-US"/>
        </w:rPr>
        <w:t xml:space="preserve"> </w:t>
      </w:r>
      <w:r>
        <w:rPr>
          <w:lang w:val="en-US"/>
        </w:rPr>
        <w:t>O.</w:t>
      </w:r>
      <w:r w:rsidRPr="00210EC3">
        <w:rPr>
          <w:lang w:val="en-US"/>
        </w:rPr>
        <w:t xml:space="preserve">, </w:t>
      </w:r>
      <w:r>
        <w:rPr>
          <w:vertAlign w:val="superscript"/>
          <w:lang w:val="en-US"/>
        </w:rPr>
        <w:t>1</w:t>
      </w:r>
      <w:r w:rsidRPr="000657DC">
        <w:rPr>
          <w:lang w:val="en-US"/>
        </w:rPr>
        <w:t>Shiankov</w:t>
      </w:r>
      <w:r w:rsidRPr="008E30E3">
        <w:rPr>
          <w:lang w:val="en-US"/>
        </w:rPr>
        <w:t xml:space="preserve"> </w:t>
      </w:r>
      <w:r>
        <w:rPr>
          <w:lang w:val="en-US"/>
        </w:rPr>
        <w:t>S.</w:t>
      </w:r>
      <w:r w:rsidRPr="00210EC3">
        <w:rPr>
          <w:lang w:val="en-US"/>
        </w:rPr>
        <w:t xml:space="preserve">, </w:t>
      </w:r>
      <w:r w:rsidRPr="007827BA">
        <w:rPr>
          <w:vertAlign w:val="superscript"/>
          <w:lang w:val="en-US"/>
        </w:rPr>
        <w:t>1,</w:t>
      </w:r>
      <w:r>
        <w:rPr>
          <w:vertAlign w:val="superscript"/>
          <w:lang w:val="en-US"/>
        </w:rPr>
        <w:t>5</w:t>
      </w:r>
      <w:r w:rsidRPr="000657DC">
        <w:rPr>
          <w:lang w:val="en-US"/>
        </w:rPr>
        <w:t>Shoshin</w:t>
      </w:r>
      <w:r w:rsidRPr="008E30E3">
        <w:rPr>
          <w:lang w:val="en-US"/>
        </w:rPr>
        <w:t xml:space="preserve"> </w:t>
      </w:r>
      <w:r>
        <w:rPr>
          <w:lang w:val="en-US"/>
        </w:rPr>
        <w:t xml:space="preserve">A., </w:t>
      </w:r>
      <w:r w:rsidRPr="008E30E3">
        <w:rPr>
          <w:vertAlign w:val="superscript"/>
          <w:lang w:val="en-US"/>
        </w:rPr>
        <w:t>1</w:t>
      </w:r>
      <w:r w:rsidRPr="0068007D">
        <w:rPr>
          <w:u w:val="single"/>
          <w:lang w:val="en-US"/>
        </w:rPr>
        <w:t>Sulyaev Yu.</w:t>
      </w:r>
    </w:p>
    <w:p w:rsidR="008E30E3" w:rsidRPr="00F323CE" w:rsidRDefault="008E30E3" w:rsidP="008E30E3">
      <w:pPr>
        <w:pStyle w:val="Zv-Organization"/>
        <w:rPr>
          <w:rStyle w:val="a7"/>
          <w:lang w:val="en-US"/>
        </w:rPr>
      </w:pPr>
      <w:r w:rsidRPr="00862143">
        <w:rPr>
          <w:vertAlign w:val="superscript"/>
          <w:lang w:val="en-US"/>
        </w:rPr>
        <w:t>1</w:t>
      </w:r>
      <w:r>
        <w:rPr>
          <w:lang w:val="en-US"/>
        </w:rPr>
        <w:t>Budker Institute of Nuclear Physics SB RAS</w:t>
      </w:r>
      <w:r w:rsidRPr="00D407D8">
        <w:rPr>
          <w:lang w:val="en-US"/>
        </w:rPr>
        <w:t>, Novosibirsk, R</w:t>
      </w:r>
      <w:r>
        <w:rPr>
          <w:lang w:val="en-US"/>
        </w:rPr>
        <w:t>F</w:t>
      </w:r>
      <w:r w:rsidRPr="00D407D8">
        <w:rPr>
          <w:lang w:val="en-US"/>
        </w:rPr>
        <w:t xml:space="preserve">, </w:t>
      </w:r>
      <w:hyperlink r:id="rId8" w:history="1">
        <w:r w:rsidRPr="00D407D8">
          <w:rPr>
            <w:rStyle w:val="a7"/>
            <w:lang w:val="en-US"/>
          </w:rPr>
          <w:t>a.a.listopad@inp.nsk.su</w:t>
        </w:r>
      </w:hyperlink>
      <w:r>
        <w:rPr>
          <w:rStyle w:val="a7"/>
          <w:lang w:val="en-US"/>
        </w:rPr>
        <w:br/>
      </w:r>
      <w:r>
        <w:rPr>
          <w:vertAlign w:val="superscript"/>
          <w:lang w:val="en-US"/>
        </w:rPr>
        <w:t>2</w:t>
      </w:r>
      <w:r>
        <w:rPr>
          <w:lang w:val="en-US"/>
        </w:rPr>
        <w:t>Institution «Project Center ITER»</w:t>
      </w:r>
      <w:r w:rsidRPr="00D407D8">
        <w:rPr>
          <w:lang w:val="en-US"/>
        </w:rPr>
        <w:t xml:space="preserve">, </w:t>
      </w:r>
      <w:r>
        <w:rPr>
          <w:lang w:val="en-US"/>
        </w:rPr>
        <w:t>Moscow</w:t>
      </w:r>
      <w:r w:rsidRPr="00D407D8">
        <w:rPr>
          <w:lang w:val="en-US"/>
        </w:rPr>
        <w:t xml:space="preserve">, </w:t>
      </w:r>
      <w:r>
        <w:rPr>
          <w:lang w:val="en-US"/>
        </w:rPr>
        <w:t>RF</w:t>
      </w:r>
      <w:r w:rsidRPr="00D407D8">
        <w:rPr>
          <w:lang w:val="en-US"/>
        </w:rPr>
        <w:t>, e-mail:</w:t>
      </w:r>
      <w:r>
        <w:rPr>
          <w:lang w:val="en-US"/>
        </w:rPr>
        <w:t xml:space="preserve"> </w:t>
      </w:r>
      <w:hyperlink r:id="rId9" w:history="1">
        <w:r w:rsidRPr="00C82A47">
          <w:rPr>
            <w:rStyle w:val="a7"/>
            <w:lang w:val="en-US"/>
          </w:rPr>
          <w:t>e.alexandrov@iterrf.ru</w:t>
        </w:r>
      </w:hyperlink>
      <w:r>
        <w:rPr>
          <w:rStyle w:val="a7"/>
          <w:lang w:val="en-US"/>
        </w:rPr>
        <w:br/>
      </w:r>
      <w:r>
        <w:rPr>
          <w:vertAlign w:val="superscript"/>
          <w:lang w:val="en-US"/>
        </w:rPr>
        <w:t>3</w:t>
      </w:r>
      <w:r>
        <w:rPr>
          <w:lang w:val="en-US"/>
        </w:rPr>
        <w:t>Saint-Petersburg</w:t>
      </w:r>
      <w:r w:rsidRPr="00D407D8">
        <w:rPr>
          <w:lang w:val="en-US"/>
        </w:rPr>
        <w:t xml:space="preserve"> </w:t>
      </w:r>
      <w:r>
        <w:rPr>
          <w:lang w:val="en-US"/>
        </w:rPr>
        <w:t>State</w:t>
      </w:r>
      <w:r w:rsidRPr="00D407D8">
        <w:rPr>
          <w:lang w:val="en-US"/>
        </w:rPr>
        <w:t xml:space="preserve"> </w:t>
      </w:r>
      <w:r>
        <w:rPr>
          <w:lang w:val="en-US"/>
        </w:rPr>
        <w:t>Polytechnical University, Saint-Petersburg, RF</w:t>
      </w:r>
      <w:r w:rsidRPr="00D407D8">
        <w:rPr>
          <w:lang w:val="en-US"/>
        </w:rPr>
        <w:t>,</w:t>
      </w:r>
      <w:r>
        <w:rPr>
          <w:lang w:val="en-US"/>
        </w:rPr>
        <w:br/>
        <w:t xml:space="preserve">    </w:t>
      </w:r>
      <w:r w:rsidRPr="00D407D8">
        <w:rPr>
          <w:lang w:val="en-US"/>
        </w:rPr>
        <w:t xml:space="preserve"> </w:t>
      </w:r>
      <w:hyperlink r:id="rId10" w:history="1">
        <w:r w:rsidRPr="00C82A47">
          <w:rPr>
            <w:rStyle w:val="a7"/>
            <w:lang w:val="en-US"/>
          </w:rPr>
          <w:t>vmodestov@spbstu.ru</w:t>
        </w:r>
      </w:hyperlink>
      <w:r>
        <w:rPr>
          <w:rStyle w:val="a7"/>
          <w:lang w:val="en-US"/>
        </w:rPr>
        <w:br/>
      </w:r>
      <w:r w:rsidRPr="00F4667B">
        <w:rPr>
          <w:vertAlign w:val="superscript"/>
          <w:lang w:val="en-US"/>
        </w:rPr>
        <w:t>4</w:t>
      </w:r>
      <w:r>
        <w:rPr>
          <w:lang w:val="en-US"/>
        </w:rPr>
        <w:t>Novosibirsk State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1" w:history="1">
        <w:r w:rsidRPr="00C82A47">
          <w:rPr>
            <w:rStyle w:val="a7"/>
            <w:lang w:val="en-US"/>
          </w:rPr>
          <w:t>a.a.shoshin@inp.nsk.su</w:t>
        </w:r>
      </w:hyperlink>
      <w:r>
        <w:rPr>
          <w:rStyle w:val="a7"/>
          <w:lang w:val="en-US"/>
        </w:rPr>
        <w:br/>
      </w:r>
      <w:r>
        <w:rPr>
          <w:vertAlign w:val="superscript"/>
          <w:lang w:val="en-US"/>
        </w:rPr>
        <w:t>5</w:t>
      </w:r>
      <w:r>
        <w:rPr>
          <w:lang w:val="en-US"/>
        </w:rPr>
        <w:t>Novosibirsk State</w:t>
      </w:r>
      <w:r w:rsidRPr="00D407D8">
        <w:rPr>
          <w:lang w:val="en-US"/>
        </w:rPr>
        <w:t xml:space="preserve"> </w:t>
      </w:r>
      <w:r>
        <w:rPr>
          <w:lang w:val="en-US"/>
        </w:rPr>
        <w:t>Technical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2" w:history="1">
        <w:r w:rsidRPr="00C82A47">
          <w:rPr>
            <w:rStyle w:val="a7"/>
            <w:lang w:val="en-US"/>
          </w:rPr>
          <w:t>a.v.burdakov@inp.nsk.su</w:t>
        </w:r>
      </w:hyperlink>
    </w:p>
    <w:p w:rsidR="008E30E3" w:rsidRPr="00305E5A" w:rsidRDefault="008E30E3" w:rsidP="008E30E3">
      <w:pPr>
        <w:pStyle w:val="Zv-bodyreport"/>
        <w:rPr>
          <w:lang w:val="en-US"/>
        </w:rPr>
      </w:pPr>
      <w:r w:rsidRPr="00305E5A">
        <w:rPr>
          <w:lang w:val="en-US"/>
        </w:rPr>
        <w:t xml:space="preserve">The aim of the work is to develop final designs of devices for placing diagnostic and auxiliary equipment in the upper ports No. 02, No. 07 and No. 08 and preparation for the manufacture of devices for placing diagnostic and auxiliary equipment in the equatorial port No. 11 of the ITER tokamak. </w:t>
      </w:r>
    </w:p>
    <w:p w:rsidR="008E30E3" w:rsidRPr="00305E5A" w:rsidRDefault="008E30E3" w:rsidP="008E30E3">
      <w:pPr>
        <w:pStyle w:val="Zv-bodyreport"/>
        <w:rPr>
          <w:lang w:val="en-US"/>
        </w:rPr>
      </w:pPr>
      <w:r w:rsidRPr="00305E5A">
        <w:rPr>
          <w:lang w:val="en-US"/>
        </w:rPr>
        <w:t>During the past period, the next stage of design of the upper ports was completed. In particular, the 3-D models of the port-plugs, ISS and PCSS support structures were modernized to the level of the final project. At each design stage, the integrity of the structures developed, was confirmed by a series of engineering calculations to simulate radiation, thermohydraulic, electromagnetic, seismic and mechanical loads. The necessary documents have been prepared for the Final Design Review of the UP#02, UP#07, UP#08 integration projects in the ITER Organization.</w:t>
      </w:r>
    </w:p>
    <w:p w:rsidR="008E30E3" w:rsidRPr="00305E5A" w:rsidRDefault="008E30E3" w:rsidP="008E30E3">
      <w:pPr>
        <w:pStyle w:val="Zv-bodyreport"/>
        <w:rPr>
          <w:lang w:val="en-US"/>
        </w:rPr>
      </w:pPr>
      <w:r w:rsidRPr="00305E5A">
        <w:rPr>
          <w:lang w:val="en-US"/>
        </w:rPr>
        <w:t>As a part of the implementation of integration projects in the upper ports, a new version of the model of the gas / water feedthrough was manufactured using specially designed automatic welding equipment capable of working in cramped conditions on the port plug closure plate.</w:t>
      </w:r>
    </w:p>
    <w:p w:rsidR="008E30E3" w:rsidRPr="00305E5A" w:rsidRDefault="008E30E3" w:rsidP="008E30E3">
      <w:pPr>
        <w:pStyle w:val="Zv-bodyreport"/>
        <w:rPr>
          <w:lang w:val="en-US"/>
        </w:rPr>
      </w:pPr>
      <w:r w:rsidRPr="00305E5A">
        <w:rPr>
          <w:lang w:val="en-US"/>
        </w:rPr>
        <w:t>Design work on the integration of diagnostic and service elements in the vacuum part of the equatorial port - plug No. 11 is almost completed, the report presents the results of the final iteration of engineering calculations of protective structures.</w:t>
      </w:r>
    </w:p>
    <w:p w:rsidR="008E30E3" w:rsidRPr="00305E5A" w:rsidRDefault="008E30E3" w:rsidP="008E30E3">
      <w:pPr>
        <w:pStyle w:val="Zv-bodyreport"/>
        <w:rPr>
          <w:lang w:val="en-US"/>
        </w:rPr>
      </w:pPr>
      <w:r w:rsidRPr="00305E5A">
        <w:rPr>
          <w:lang w:val="en-US"/>
        </w:rPr>
        <w:t>The preparation of the production capabilities of the INP SB RAS for the manufacture and assembly of equipment for the diagnostic systems accommodation in accordance with the rules and requirements of the French RCC-MR 2007 code is discussed. In particular, it mentions the qualification of special manufacturing processes used in the process of manufacturing vacuum products for ITER classified as part of a nuclear power facility. A brief overview of the retrofitting and the process of commissioning the assembly room with the provision of special cleanliness conditions in accordance with the RCC-MR 2007 rules is given. In particular, for large-sized products of the upper ITER ports, four tilters were manufactured: this is a technological equipment for assembling and testing the upper port plug on the integration site. In addition, the integration site has prepared for testing procedures and final factory acceptance of the assembled port plugs.</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05" w:rsidRDefault="00CF3F05">
      <w:r>
        <w:separator/>
      </w:r>
    </w:p>
  </w:endnote>
  <w:endnote w:type="continuationSeparator" w:id="0">
    <w:p w:rsidR="00CF3F05" w:rsidRDefault="00CF3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2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2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060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05" w:rsidRDefault="00CF3F05">
      <w:r>
        <w:separator/>
      </w:r>
    </w:p>
  </w:footnote>
  <w:footnote w:type="continuationSeparator" w:id="0">
    <w:p w:rsidR="00CF3F05" w:rsidRDefault="00CF3F05">
      <w:r>
        <w:continuationSeparator/>
      </w:r>
    </w:p>
  </w:footnote>
  <w:footnote w:id="1">
    <w:p w:rsidR="00B502E2" w:rsidRPr="00B502E2" w:rsidRDefault="00B502E2">
      <w:pPr>
        <w:pStyle w:val="a8"/>
        <w:rPr>
          <w:sz w:val="22"/>
          <w:szCs w:val="22"/>
          <w:lang w:val="en-US"/>
        </w:rPr>
      </w:pPr>
      <w:r w:rsidRPr="00B502E2">
        <w:rPr>
          <w:rStyle w:val="aa"/>
          <w:sz w:val="22"/>
          <w:szCs w:val="22"/>
          <w:lang w:val="en-US"/>
        </w:rPr>
        <w:t>*)</w:t>
      </w:r>
      <w:r w:rsidRPr="00B502E2">
        <w:rPr>
          <w:sz w:val="22"/>
          <w:szCs w:val="22"/>
          <w:lang w:val="en-US"/>
        </w:rPr>
        <w:t xml:space="preserve">  </w:t>
      </w:r>
      <w:hyperlink r:id="rId1" w:history="1">
        <w:r w:rsidRPr="00B502E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023A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C6D4F"/>
    <w:rsid w:val="00043701"/>
    <w:rsid w:val="000C657D"/>
    <w:rsid w:val="000C7078"/>
    <w:rsid w:val="000D76E9"/>
    <w:rsid w:val="000E495B"/>
    <w:rsid w:val="001C0CCB"/>
    <w:rsid w:val="00205708"/>
    <w:rsid w:val="00220629"/>
    <w:rsid w:val="002215BB"/>
    <w:rsid w:val="0023083F"/>
    <w:rsid w:val="00247225"/>
    <w:rsid w:val="003800F3"/>
    <w:rsid w:val="003A606B"/>
    <w:rsid w:val="003B5B93"/>
    <w:rsid w:val="003E0981"/>
    <w:rsid w:val="00401388"/>
    <w:rsid w:val="0043297E"/>
    <w:rsid w:val="00446025"/>
    <w:rsid w:val="004A77D1"/>
    <w:rsid w:val="004B4ACC"/>
    <w:rsid w:val="004B72AA"/>
    <w:rsid w:val="004C6D4F"/>
    <w:rsid w:val="004F4E29"/>
    <w:rsid w:val="005074E3"/>
    <w:rsid w:val="00567C6F"/>
    <w:rsid w:val="00573BAD"/>
    <w:rsid w:val="0058676C"/>
    <w:rsid w:val="005F764D"/>
    <w:rsid w:val="006023A3"/>
    <w:rsid w:val="006038C3"/>
    <w:rsid w:val="00654A7B"/>
    <w:rsid w:val="006733AA"/>
    <w:rsid w:val="006B5B24"/>
    <w:rsid w:val="00732A2E"/>
    <w:rsid w:val="007B09C9"/>
    <w:rsid w:val="007B6378"/>
    <w:rsid w:val="007E06CE"/>
    <w:rsid w:val="00802D35"/>
    <w:rsid w:val="008306AF"/>
    <w:rsid w:val="008520F9"/>
    <w:rsid w:val="008850EF"/>
    <w:rsid w:val="008E30E3"/>
    <w:rsid w:val="00906FF7"/>
    <w:rsid w:val="009D3AC4"/>
    <w:rsid w:val="00AE6185"/>
    <w:rsid w:val="00B502E2"/>
    <w:rsid w:val="00B622ED"/>
    <w:rsid w:val="00B9584E"/>
    <w:rsid w:val="00C103CD"/>
    <w:rsid w:val="00C232A0"/>
    <w:rsid w:val="00C5751F"/>
    <w:rsid w:val="00CF3F05"/>
    <w:rsid w:val="00D47F19"/>
    <w:rsid w:val="00D900FB"/>
    <w:rsid w:val="00D92E54"/>
    <w:rsid w:val="00E0609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8E30E3"/>
    <w:rPr>
      <w:color w:val="0000FF"/>
      <w:u w:val="single"/>
    </w:rPr>
  </w:style>
  <w:style w:type="paragraph" w:styleId="a8">
    <w:name w:val="footnote text"/>
    <w:basedOn w:val="a"/>
    <w:link w:val="a9"/>
    <w:rsid w:val="00B502E2"/>
    <w:rPr>
      <w:sz w:val="20"/>
      <w:szCs w:val="20"/>
    </w:rPr>
  </w:style>
  <w:style w:type="character" w:customStyle="1" w:styleId="a9">
    <w:name w:val="Текст сноски Знак"/>
    <w:basedOn w:val="a0"/>
    <w:link w:val="a8"/>
    <w:rsid w:val="00B502E2"/>
  </w:style>
  <w:style w:type="character" w:styleId="aa">
    <w:name w:val="footnote reference"/>
    <w:basedOn w:val="a0"/>
    <w:rsid w:val="00B502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istopad@inp.nsk.s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burdakov@inp.nsk.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shoshin@inp.nsk.s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modestov@spbstu.ru" TargetMode="External"/><Relationship Id="rId4" Type="http://schemas.openxmlformats.org/officeDocument/2006/relationships/settings" Target="settings.xml"/><Relationship Id="rId9" Type="http://schemas.openxmlformats.org/officeDocument/2006/relationships/hyperlink" Target="mailto:e.alexandrov@iterrf.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IN-Suly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EA910-F86A-45D8-8ABB-6A6A06D1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11</TotalTime>
  <Pages>1</Pages>
  <Words>466</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STATUS OF WORKS IN BUDKER INSTITUTE SB RAS ON ITER DIAGNOSTIC PORTS INTEGRATION</dc:title>
  <dc:creator/>
  <cp:lastModifiedBy>Сатунин</cp:lastModifiedBy>
  <cp:revision>4</cp:revision>
  <cp:lastPrinted>1601-01-01T00:00:00Z</cp:lastPrinted>
  <dcterms:created xsi:type="dcterms:W3CDTF">2021-02-28T18:58:00Z</dcterms:created>
  <dcterms:modified xsi:type="dcterms:W3CDTF">2021-06-08T10:45:00Z</dcterms:modified>
</cp:coreProperties>
</file>