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3E" w:rsidRPr="006B7A4B" w:rsidRDefault="00AD2B13" w:rsidP="0015613E">
      <w:pPr>
        <w:pStyle w:val="Zv-Titlereport"/>
        <w:rPr>
          <w:lang w:val="en-US"/>
        </w:rPr>
      </w:pPr>
      <w:r w:rsidRPr="00AD2B1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9745BE" w:rsidRPr="0095603D" w:rsidRDefault="009745BE" w:rsidP="003B6459">
                  <w:pPr>
                    <w:spacing w:before="80"/>
                    <w:rPr>
                      <w:sz w:val="22"/>
                      <w:szCs w:val="22"/>
                    </w:rPr>
                  </w:pPr>
                  <w:r w:rsidRPr="0095603D">
                    <w:rPr>
                      <w:sz w:val="22"/>
                      <w:szCs w:val="22"/>
                    </w:rPr>
                    <w:t>DOI:</w:t>
                  </w:r>
                  <w:r>
                    <w:rPr>
                      <w:sz w:val="22"/>
                      <w:szCs w:val="22"/>
                    </w:rPr>
                    <w:t xml:space="preserve"> </w:t>
                  </w:r>
                  <w:r w:rsidRPr="009745BE">
                    <w:rPr>
                      <w:sz w:val="22"/>
                      <w:szCs w:val="22"/>
                    </w:rPr>
                    <w:t>10.34854/ICPAF.2021.48.1.175</w:t>
                  </w:r>
                </w:p>
              </w:txbxContent>
            </v:textbox>
            <w10:anchorlock/>
          </v:shape>
        </w:pict>
      </w:r>
      <w:r w:rsidR="0015613E" w:rsidRPr="006B7A4B">
        <w:rPr>
          <w:lang w:val="en-US"/>
        </w:rPr>
        <w:t>HELICON TYPE HF</w:t>
      </w:r>
      <w:r w:rsidR="0015613E">
        <w:rPr>
          <w:lang w:val="en-US"/>
        </w:rPr>
        <w:t xml:space="preserve">-Plasma </w:t>
      </w:r>
      <w:r w:rsidR="0015613E" w:rsidRPr="006B7A4B">
        <w:rPr>
          <w:lang w:val="en-US"/>
        </w:rPr>
        <w:t xml:space="preserve">SOURCE FOR </w:t>
      </w:r>
      <w:r w:rsidR="0015613E">
        <w:rPr>
          <w:lang w:val="en-US"/>
        </w:rPr>
        <w:t xml:space="preserve">plasmsa-material </w:t>
      </w:r>
      <w:r w:rsidR="0015613E" w:rsidRPr="006B7A4B">
        <w:rPr>
          <w:lang w:val="en-US"/>
        </w:rPr>
        <w:t>STUDI</w:t>
      </w:r>
      <w:r w:rsidR="0015613E">
        <w:rPr>
          <w:lang w:val="en-US"/>
        </w:rPr>
        <w:t>es</w:t>
      </w:r>
      <w:r w:rsidR="009745BE">
        <w:rPr>
          <w:lang w:val="en-US"/>
        </w:rPr>
        <w:t xml:space="preserve"> </w:t>
      </w:r>
      <w:r w:rsidR="009745BE">
        <w:rPr>
          <w:rStyle w:val="aa"/>
          <w:lang w:val="en-US"/>
        </w:rPr>
        <w:footnoteReference w:customMarkFollows="1" w:id="1"/>
        <w:t>*)</w:t>
      </w:r>
    </w:p>
    <w:p w:rsidR="0015613E" w:rsidRPr="002D2B5C" w:rsidRDefault="0015613E" w:rsidP="0015613E">
      <w:pPr>
        <w:pStyle w:val="Zv-Author"/>
        <w:rPr>
          <w:lang w:val="en-US"/>
        </w:rPr>
      </w:pPr>
      <w:r w:rsidRPr="006B7A4B">
        <w:rPr>
          <w:u w:val="single"/>
          <w:lang w:val="en-US"/>
        </w:rPr>
        <w:t>Cherkez</w:t>
      </w:r>
      <w:r w:rsidRPr="0015613E">
        <w:rPr>
          <w:u w:val="single"/>
          <w:lang w:val="en-US"/>
        </w:rPr>
        <w:t xml:space="preserve"> </w:t>
      </w:r>
      <w:r w:rsidRPr="006B7A4B">
        <w:rPr>
          <w:u w:val="single"/>
          <w:lang w:val="en-US"/>
        </w:rPr>
        <w:t>D</w:t>
      </w:r>
      <w:r>
        <w:rPr>
          <w:u w:val="single"/>
          <w:lang w:val="en-US"/>
        </w:rPr>
        <w:t>.</w:t>
      </w:r>
      <w:r w:rsidRPr="006B7A4B">
        <w:rPr>
          <w:u w:val="single"/>
          <w:lang w:val="en-US"/>
        </w:rPr>
        <w:t>I</w:t>
      </w:r>
      <w:r>
        <w:rPr>
          <w:u w:val="single"/>
          <w:lang w:val="en-US"/>
        </w:rPr>
        <w:t>.</w:t>
      </w:r>
      <w:r w:rsidRPr="002D2B5C">
        <w:rPr>
          <w:lang w:val="en-US"/>
        </w:rPr>
        <w:t xml:space="preserve">, </w:t>
      </w:r>
      <w:r>
        <w:rPr>
          <w:lang w:val="en-US"/>
        </w:rPr>
        <w:t>Stepanov</w:t>
      </w:r>
      <w:r w:rsidRPr="0015613E">
        <w:rPr>
          <w:lang w:val="en-US"/>
        </w:rPr>
        <w:t xml:space="preserve"> </w:t>
      </w:r>
      <w:r>
        <w:rPr>
          <w:lang w:val="en-US"/>
        </w:rPr>
        <w:t>N.O.</w:t>
      </w:r>
      <w:r w:rsidRPr="002D2B5C">
        <w:rPr>
          <w:lang w:val="en-US"/>
        </w:rPr>
        <w:t xml:space="preserve">, </w:t>
      </w:r>
      <w:r w:rsidRPr="006B7A4B">
        <w:rPr>
          <w:lang w:val="en-US"/>
        </w:rPr>
        <w:t>Ananyev</w:t>
      </w:r>
      <w:r w:rsidRPr="0015613E">
        <w:rPr>
          <w:lang w:val="en-US"/>
        </w:rPr>
        <w:t xml:space="preserve"> </w:t>
      </w:r>
      <w:r w:rsidRPr="006B7A4B">
        <w:rPr>
          <w:lang w:val="en-US"/>
        </w:rPr>
        <w:t>S</w:t>
      </w:r>
      <w:r>
        <w:rPr>
          <w:lang w:val="en-US"/>
        </w:rPr>
        <w:t>.</w:t>
      </w:r>
      <w:r w:rsidRPr="006B7A4B">
        <w:rPr>
          <w:lang w:val="en-US"/>
        </w:rPr>
        <w:t>S.</w:t>
      </w:r>
      <w:r w:rsidRPr="002D2B5C">
        <w:rPr>
          <w:lang w:val="en-US"/>
        </w:rPr>
        <w:t>, Spitsyn</w:t>
      </w:r>
      <w:r w:rsidRPr="0015613E">
        <w:rPr>
          <w:lang w:val="en-US"/>
        </w:rPr>
        <w:t xml:space="preserve"> </w:t>
      </w:r>
      <w:r w:rsidRPr="002D2B5C">
        <w:rPr>
          <w:lang w:val="en-US"/>
        </w:rPr>
        <w:t>A</w:t>
      </w:r>
      <w:r>
        <w:rPr>
          <w:lang w:val="en-US"/>
        </w:rPr>
        <w:t>.</w:t>
      </w:r>
      <w:r w:rsidRPr="002D2B5C">
        <w:rPr>
          <w:lang w:val="en-US"/>
        </w:rPr>
        <w:t>V.</w:t>
      </w:r>
    </w:p>
    <w:p w:rsidR="0015613E" w:rsidRDefault="0015613E" w:rsidP="0015613E">
      <w:pPr>
        <w:pStyle w:val="Zv-Organization"/>
        <w:rPr>
          <w:lang w:val="en-US"/>
        </w:rPr>
      </w:pPr>
      <w:r w:rsidRPr="002D2B5C">
        <w:rPr>
          <w:lang w:val="en-US"/>
        </w:rPr>
        <w:t xml:space="preserve">NRC Kurchatov Institute, Moscow, Russia, </w:t>
      </w:r>
      <w:hyperlink r:id="rId8" w:history="1">
        <w:r w:rsidRPr="00A40C9A">
          <w:rPr>
            <w:rStyle w:val="a7"/>
            <w:lang w:val="en-US"/>
          </w:rPr>
          <w:t>Cherkez_DI@nrcki.ru</w:t>
        </w:r>
      </w:hyperlink>
    </w:p>
    <w:p w:rsidR="0015613E" w:rsidRPr="006B7A4B" w:rsidRDefault="0015613E" w:rsidP="0015613E">
      <w:pPr>
        <w:pStyle w:val="Zv-bodyreport"/>
        <w:rPr>
          <w:lang w:val="en-US" w:eastAsia="en-US"/>
        </w:rPr>
      </w:pPr>
      <w:r w:rsidRPr="006B7A4B">
        <w:rPr>
          <w:lang w:val="en-US" w:eastAsia="en-US"/>
        </w:rPr>
        <w:t>Low-temperature plasma sources are currently widely used in various fields of science and technology and industry: household us</w:t>
      </w:r>
      <w:r>
        <w:rPr>
          <w:lang w:val="en-US" w:eastAsia="en-US"/>
        </w:rPr>
        <w:t>ag</w:t>
      </w:r>
      <w:r w:rsidRPr="006B7A4B">
        <w:rPr>
          <w:lang w:val="en-US" w:eastAsia="en-US"/>
        </w:rPr>
        <w:t xml:space="preserve">e as light sources; production of microelectronics; plasma processing of materials; scientific research devoted to various aspects of the </w:t>
      </w:r>
      <w:r>
        <w:rPr>
          <w:lang w:val="en-US" w:eastAsia="en-US"/>
        </w:rPr>
        <w:t>plasma-</w:t>
      </w:r>
      <w:r w:rsidRPr="006B7A4B">
        <w:rPr>
          <w:lang w:val="en-US" w:eastAsia="en-US"/>
        </w:rPr>
        <w:t xml:space="preserve">material interaction, incl. promising </w:t>
      </w:r>
      <w:r>
        <w:rPr>
          <w:lang w:val="en-US" w:eastAsia="en-US"/>
        </w:rPr>
        <w:t xml:space="preserve">materials </w:t>
      </w:r>
      <w:r w:rsidRPr="006B7A4B">
        <w:rPr>
          <w:lang w:val="en-US" w:eastAsia="en-US"/>
        </w:rPr>
        <w:t>for us</w:t>
      </w:r>
      <w:r>
        <w:rPr>
          <w:lang w:val="en-US" w:eastAsia="en-US"/>
        </w:rPr>
        <w:t>age</w:t>
      </w:r>
      <w:r w:rsidRPr="006B7A4B">
        <w:rPr>
          <w:lang w:val="en-US" w:eastAsia="en-US"/>
        </w:rPr>
        <w:t xml:space="preserve"> in a thermonuclear reactor. Plasma sources are based on various methods of gas ionization: ionization of molecules in a glow</w:t>
      </w:r>
      <w:r>
        <w:rPr>
          <w:lang w:val="en-US" w:eastAsia="en-US"/>
        </w:rPr>
        <w:t>-</w:t>
      </w:r>
      <w:r w:rsidRPr="006B7A4B">
        <w:rPr>
          <w:lang w:val="en-US" w:eastAsia="en-US"/>
        </w:rPr>
        <w:t xml:space="preserve">discharge, ionization by electron impact, excitation by high-frequency (HF) and microwave sources, </w:t>
      </w:r>
      <w:r>
        <w:rPr>
          <w:lang w:val="en-US" w:eastAsia="en-US"/>
        </w:rPr>
        <w:t xml:space="preserve">and </w:t>
      </w:r>
      <w:r w:rsidRPr="006B7A4B">
        <w:rPr>
          <w:lang w:val="en-US" w:eastAsia="en-US"/>
        </w:rPr>
        <w:t>etc. For applied research in the field of plasma-surface interaction in relation to the problems of thermonuclear installations, the most interesting are high-flux plasma gen</w:t>
      </w:r>
      <w:r>
        <w:rPr>
          <w:lang w:val="en-US" w:eastAsia="en-US"/>
        </w:rPr>
        <w:t>erators that simulate plasma fluxes</w:t>
      </w:r>
      <w:r w:rsidRPr="006B7A4B">
        <w:rPr>
          <w:lang w:val="en-US" w:eastAsia="en-US"/>
        </w:rPr>
        <w:t xml:space="preserve"> </w:t>
      </w:r>
      <w:r>
        <w:rPr>
          <w:lang w:val="en-US" w:eastAsia="en-US"/>
        </w:rPr>
        <w:t>typical for</w:t>
      </w:r>
      <w:r w:rsidRPr="006B7A4B">
        <w:rPr>
          <w:lang w:val="en-US" w:eastAsia="en-US"/>
        </w:rPr>
        <w:t xml:space="preserve"> fusion reactors.</w:t>
      </w:r>
    </w:p>
    <w:p w:rsidR="0015613E" w:rsidRPr="006B7A4B" w:rsidRDefault="0015613E" w:rsidP="0015613E">
      <w:pPr>
        <w:pStyle w:val="Zv-bodyreport"/>
        <w:rPr>
          <w:lang w:val="en-US" w:eastAsia="en-US"/>
        </w:rPr>
      </w:pPr>
      <w:r w:rsidRPr="006B7A4B">
        <w:rPr>
          <w:lang w:val="en-US" w:eastAsia="en-US"/>
        </w:rPr>
        <w:t xml:space="preserve">A promising type of compact plasma sources for </w:t>
      </w:r>
      <w:r>
        <w:rPr>
          <w:lang w:val="en-US" w:eastAsia="en-US"/>
        </w:rPr>
        <w:t>plasma-</w:t>
      </w:r>
      <w:r w:rsidRPr="006B7A4B">
        <w:rPr>
          <w:lang w:val="en-US" w:eastAsia="en-US"/>
        </w:rPr>
        <w:t xml:space="preserve">material </w:t>
      </w:r>
      <w:r>
        <w:rPr>
          <w:lang w:val="en-US" w:eastAsia="en-US"/>
        </w:rPr>
        <w:t>interaction studies</w:t>
      </w:r>
      <w:r w:rsidRPr="006B7A4B">
        <w:rPr>
          <w:lang w:val="en-US" w:eastAsia="en-US"/>
        </w:rPr>
        <w:t xml:space="preserve"> </w:t>
      </w:r>
      <w:r>
        <w:rPr>
          <w:lang w:val="en-US" w:eastAsia="en-US"/>
        </w:rPr>
        <w:t xml:space="preserve">are </w:t>
      </w:r>
      <w:r w:rsidRPr="006B7A4B">
        <w:rPr>
          <w:lang w:val="en-US" w:eastAsia="en-US"/>
        </w:rPr>
        <w:t>HF plasma sources, in particular, with an inductive discharge of the helicon type [1-2]. The advantage of such plasma sources is the ability to vary the plasma density (and, accordingly, the plasma fluxes) over a wide range, as well as the absence of electrodes eroding during the discharge, which significantly affects the plasma purity. At the same time, installations of this type allow achieving a plasma density of the order of 10</w:t>
      </w:r>
      <w:r w:rsidRPr="006B7A4B">
        <w:rPr>
          <w:vertAlign w:val="superscript"/>
          <w:lang w:val="en-US" w:eastAsia="en-US"/>
        </w:rPr>
        <w:t>17</w:t>
      </w:r>
      <w:r w:rsidRPr="006B7A4B">
        <w:rPr>
          <w:lang w:val="en-US" w:eastAsia="en-US"/>
        </w:rPr>
        <w:t>–10</w:t>
      </w:r>
      <w:r w:rsidRPr="006B7A4B">
        <w:rPr>
          <w:vertAlign w:val="superscript"/>
          <w:lang w:val="en-US" w:eastAsia="en-US"/>
        </w:rPr>
        <w:t>19</w:t>
      </w:r>
      <w:r w:rsidRPr="006B7A4B">
        <w:rPr>
          <w:lang w:val="en-US" w:eastAsia="en-US"/>
        </w:rPr>
        <w:t xml:space="preserve"> m</w:t>
      </w:r>
      <w:r w:rsidRPr="006B7A4B">
        <w:rPr>
          <w:vertAlign w:val="superscript"/>
          <w:lang w:val="en-US" w:eastAsia="en-US"/>
        </w:rPr>
        <w:t>-3</w:t>
      </w:r>
      <w:r w:rsidRPr="006B7A4B">
        <w:rPr>
          <w:lang w:val="en-US" w:eastAsia="en-US"/>
        </w:rPr>
        <w:t xml:space="preserve"> and are compact [3].</w:t>
      </w:r>
    </w:p>
    <w:p w:rsidR="0015613E" w:rsidRDefault="0015613E" w:rsidP="0015613E">
      <w:pPr>
        <w:pStyle w:val="Zv-bodyreport"/>
        <w:rPr>
          <w:lang w:val="en-US" w:eastAsia="en-US"/>
        </w:rPr>
      </w:pPr>
      <w:r w:rsidRPr="006B7A4B">
        <w:rPr>
          <w:lang w:val="en-US" w:eastAsia="en-US"/>
        </w:rPr>
        <w:t>T</w:t>
      </w:r>
      <w:r>
        <w:rPr>
          <w:lang w:val="en-US" w:eastAsia="en-US"/>
        </w:rPr>
        <w:t>his</w:t>
      </w:r>
      <w:r w:rsidRPr="006B7A4B">
        <w:rPr>
          <w:lang w:val="en-US" w:eastAsia="en-US"/>
        </w:rPr>
        <w:t xml:space="preserve"> paper pre</w:t>
      </w:r>
      <w:r>
        <w:rPr>
          <w:lang w:val="en-US" w:eastAsia="en-US"/>
        </w:rPr>
        <w:t xml:space="preserve">sents the results of </w:t>
      </w:r>
      <w:r w:rsidRPr="006B7A4B">
        <w:rPr>
          <w:lang w:val="en-US" w:eastAsia="en-US"/>
        </w:rPr>
        <w:t xml:space="preserve">laboratory experimental setup GPI-2 based on a 13.56 MHz helicon plasma source with a power of 2 kW, </w:t>
      </w:r>
      <w:r>
        <w:rPr>
          <w:lang w:val="en-US" w:eastAsia="en-US"/>
        </w:rPr>
        <w:t xml:space="preserve">designing </w:t>
      </w:r>
      <w:r w:rsidRPr="006B7A4B">
        <w:rPr>
          <w:lang w:val="en-US" w:eastAsia="en-US"/>
        </w:rPr>
        <w:t>and also considers the prospects for further modernization. In particular, the possibility of using several magnetic coils (up to 0.3</w:t>
      </w:r>
      <w:r>
        <w:rPr>
          <w:lang w:val="en-US" w:eastAsia="en-US"/>
        </w:rPr>
        <w:t> </w:t>
      </w:r>
      <w:r w:rsidRPr="006B7A4B">
        <w:rPr>
          <w:lang w:val="en-US" w:eastAsia="en-US"/>
        </w:rPr>
        <w:t xml:space="preserve">T) to create magnetic focusing and </w:t>
      </w:r>
      <w:r>
        <w:rPr>
          <w:lang w:val="en-US" w:eastAsia="en-US"/>
        </w:rPr>
        <w:t>plasma density increasing</w:t>
      </w:r>
      <w:r w:rsidRPr="006B7A4B">
        <w:rPr>
          <w:lang w:val="en-US" w:eastAsia="en-US"/>
        </w:rPr>
        <w:t xml:space="preserve"> is considered. The working gas </w:t>
      </w:r>
      <w:r>
        <w:rPr>
          <w:lang w:val="en-US" w:eastAsia="en-US"/>
        </w:rPr>
        <w:t xml:space="preserve">is </w:t>
      </w:r>
      <w:r w:rsidRPr="006B7A4B">
        <w:rPr>
          <w:lang w:val="en-US" w:eastAsia="en-US"/>
        </w:rPr>
        <w:t>hydrogen isotopes (protium, deuterium) with the possibility of adding helium, neon or argon. The installation is designed to study the interaction of plasma with promising materials for thermonuclear reactors. The technical solutions used in the design will make it possible to obtain the flux density of deuterium ions in the interaction chamber in the range of 10</w:t>
      </w:r>
      <w:r w:rsidRPr="00BB4872">
        <w:rPr>
          <w:vertAlign w:val="superscript"/>
          <w:lang w:val="en-US" w:eastAsia="en-US"/>
        </w:rPr>
        <w:t>20</w:t>
      </w:r>
      <w:r w:rsidRPr="006B7A4B">
        <w:rPr>
          <w:lang w:val="en-US" w:eastAsia="en-US"/>
        </w:rPr>
        <w:t xml:space="preserve"> - 10</w:t>
      </w:r>
      <w:r w:rsidRPr="00BB4872">
        <w:rPr>
          <w:vertAlign w:val="superscript"/>
          <w:lang w:val="en-US" w:eastAsia="en-US"/>
        </w:rPr>
        <w:t>22</w:t>
      </w:r>
      <w:r w:rsidRPr="006B7A4B">
        <w:rPr>
          <w:lang w:val="en-US" w:eastAsia="en-US"/>
        </w:rPr>
        <w:t xml:space="preserve"> ions</w:t>
      </w:r>
      <w:r>
        <w:rPr>
          <w:lang w:val="en-US" w:eastAsia="en-US"/>
        </w:rPr>
        <w:t>/(</w:t>
      </w:r>
      <w:r w:rsidRPr="006B7A4B">
        <w:rPr>
          <w:lang w:val="en-US" w:eastAsia="en-US"/>
        </w:rPr>
        <w:t>s</w:t>
      </w:r>
      <w:r>
        <w:rPr>
          <w:lang w:val="en-US" w:eastAsia="en-US"/>
        </w:rPr>
        <w:t>∙</w:t>
      </w:r>
      <w:r w:rsidRPr="006B7A4B">
        <w:rPr>
          <w:lang w:val="en-US" w:eastAsia="en-US"/>
        </w:rPr>
        <w:t>m</w:t>
      </w:r>
      <w:r w:rsidRPr="00BB4872">
        <w:rPr>
          <w:vertAlign w:val="superscript"/>
          <w:lang w:val="en-US" w:eastAsia="en-US"/>
        </w:rPr>
        <w:t>2</w:t>
      </w:r>
      <w:r w:rsidRPr="00BB4872">
        <w:rPr>
          <w:lang w:val="en-US" w:eastAsia="en-US"/>
        </w:rPr>
        <w:t>)</w:t>
      </w:r>
      <w:r>
        <w:rPr>
          <w:lang w:val="en-US" w:eastAsia="en-US"/>
        </w:rPr>
        <w:t xml:space="preserve"> (up to 100 A</w:t>
      </w:r>
      <w:r w:rsidRPr="006B7A4B">
        <w:rPr>
          <w:lang w:val="en-US" w:eastAsia="en-US"/>
        </w:rPr>
        <w:t>/m</w:t>
      </w:r>
      <w:r w:rsidRPr="00BB4872">
        <w:rPr>
          <w:vertAlign w:val="superscript"/>
          <w:lang w:val="en-US" w:eastAsia="en-US"/>
        </w:rPr>
        <w:t>2</w:t>
      </w:r>
      <w:r w:rsidRPr="006B7A4B">
        <w:rPr>
          <w:lang w:val="en-US" w:eastAsia="en-US"/>
        </w:rPr>
        <w:t>).</w:t>
      </w:r>
    </w:p>
    <w:p w:rsidR="0015613E" w:rsidRPr="002D2B5C" w:rsidRDefault="0015613E" w:rsidP="0015613E">
      <w:pPr>
        <w:pStyle w:val="Zv-bodyreport"/>
        <w:rPr>
          <w:lang w:val="en-US"/>
        </w:rPr>
      </w:pPr>
      <w:r w:rsidRPr="002D2B5C">
        <w:rPr>
          <w:lang w:val="en-US"/>
        </w:rPr>
        <w:t>This work was partially supported by the Russian Science Foundation (№ 18-72-10162).</w:t>
      </w:r>
    </w:p>
    <w:p w:rsidR="0015613E" w:rsidRPr="002D2B5C" w:rsidRDefault="0015613E" w:rsidP="0015613E">
      <w:pPr>
        <w:pStyle w:val="Zv-TitleReferences-en"/>
        <w:rPr>
          <w:lang w:val="en-US"/>
        </w:rPr>
      </w:pPr>
      <w:r w:rsidRPr="002D2B5C">
        <w:rPr>
          <w:lang w:val="en-US"/>
        </w:rPr>
        <w:t>References</w:t>
      </w:r>
    </w:p>
    <w:p w:rsidR="0015613E" w:rsidRPr="00476F9A" w:rsidRDefault="0015613E" w:rsidP="0015613E">
      <w:pPr>
        <w:pStyle w:val="Zv-References-en"/>
      </w:pPr>
      <w:r w:rsidRPr="00476F9A">
        <w:t>A.A. Ivanov, V.I. Davydenko, I.A. Kotelnikov, A.Kreter, V.V. Mishagin, I.A. Prokhorov, I.V. Shikhovtsev, B. Unterberg, «High Efficiency Helicon Plasma Source for PMI Studies» // Fusion Science and Technology / Volume 63 / Number 1T / May 2013 / Pages 217-220</w:t>
      </w:r>
    </w:p>
    <w:p w:rsidR="0015613E" w:rsidRDefault="0015613E" w:rsidP="0015613E">
      <w:pPr>
        <w:pStyle w:val="Zv-References-en"/>
      </w:pPr>
      <w:r w:rsidRPr="00650862">
        <w:t xml:space="preserve">Kralkina E.A. Low-pressure inductive high-frequency discharge and the possibility of optimizing plasma sources based on it - UFN, 2008, volume 178, number 5, 519–540, DOI: </w:t>
      </w:r>
      <w:hyperlink r:id="rId9" w:history="1">
        <w:r w:rsidRPr="00A40C9A">
          <w:rPr>
            <w:rStyle w:val="a7"/>
          </w:rPr>
          <w:t>https://doi.org/10.3367/UFNr.0178.200805f.0519</w:t>
        </w:r>
      </w:hyperlink>
    </w:p>
    <w:p w:rsidR="00654A7B" w:rsidRPr="009D3AC4" w:rsidRDefault="0015613E" w:rsidP="0015613E">
      <w:pPr>
        <w:pStyle w:val="Zv-References-en"/>
      </w:pPr>
      <w:r w:rsidRPr="00476F9A">
        <w:t xml:space="preserve">Shinohara S. Helicon high-density plasma sources: physics and applications </w:t>
      </w:r>
      <w:r w:rsidRPr="0015613E">
        <w:rPr>
          <w:sz w:val="18"/>
          <w:szCs w:val="18"/>
        </w:rPr>
        <w:t xml:space="preserve">— </w:t>
      </w:r>
      <w:r w:rsidRPr="00476F9A">
        <w:t>Advances in Physics, X, 3:1, 1420424, DOI: 10.1080/23746149.2017.1420424</w:t>
      </w:r>
      <w:r>
        <w:t xml:space="preserve">, </w:t>
      </w:r>
      <w:r w:rsidRPr="002D2B5C">
        <w:t>Budapest, Hungary, September 22-27, 2019</w:t>
      </w: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6F" w:rsidRDefault="002E3E6F">
      <w:r>
        <w:separator/>
      </w:r>
    </w:p>
  </w:endnote>
  <w:endnote w:type="continuationSeparator" w:id="0">
    <w:p w:rsidR="002E3E6F" w:rsidRDefault="002E3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2B1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2B1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A694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6F" w:rsidRDefault="002E3E6F">
      <w:r>
        <w:separator/>
      </w:r>
    </w:p>
  </w:footnote>
  <w:footnote w:type="continuationSeparator" w:id="0">
    <w:p w:rsidR="002E3E6F" w:rsidRDefault="002E3E6F">
      <w:r>
        <w:continuationSeparator/>
      </w:r>
    </w:p>
  </w:footnote>
  <w:footnote w:id="1">
    <w:p w:rsidR="009745BE" w:rsidRPr="009745BE" w:rsidRDefault="009745BE">
      <w:pPr>
        <w:pStyle w:val="a8"/>
        <w:rPr>
          <w:sz w:val="22"/>
          <w:szCs w:val="22"/>
          <w:lang w:val="en-US"/>
        </w:rPr>
      </w:pPr>
      <w:r w:rsidRPr="009745BE">
        <w:rPr>
          <w:rStyle w:val="aa"/>
          <w:sz w:val="22"/>
          <w:szCs w:val="22"/>
          <w:lang w:val="en-US"/>
        </w:rPr>
        <w:t>*)</w:t>
      </w:r>
      <w:r w:rsidRPr="009745BE">
        <w:rPr>
          <w:sz w:val="22"/>
          <w:szCs w:val="22"/>
          <w:lang w:val="en-US"/>
        </w:rPr>
        <w:t xml:space="preserve">  </w:t>
      </w:r>
      <w:hyperlink r:id="rId1" w:history="1">
        <w:r w:rsidRPr="009745BE">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D2B1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decimal"/>
      <w:pStyle w:val="reference"/>
      <w:lvlText w:val="[%1]"/>
      <w:lvlJc w:val="left"/>
      <w:pPr>
        <w:tabs>
          <w:tab w:val="num" w:pos="562"/>
        </w:tabs>
        <w:ind w:left="562" w:hanging="420"/>
      </w:pPr>
      <w:rPr>
        <w:rFont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E3E6F"/>
    <w:rsid w:val="00043701"/>
    <w:rsid w:val="000C657D"/>
    <w:rsid w:val="000C7078"/>
    <w:rsid w:val="000D76E9"/>
    <w:rsid w:val="000E495B"/>
    <w:rsid w:val="0015613E"/>
    <w:rsid w:val="001C0CCB"/>
    <w:rsid w:val="00205708"/>
    <w:rsid w:val="00220629"/>
    <w:rsid w:val="0023083F"/>
    <w:rsid w:val="00247225"/>
    <w:rsid w:val="002E3E6F"/>
    <w:rsid w:val="003800F3"/>
    <w:rsid w:val="003A606B"/>
    <w:rsid w:val="003A6943"/>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75232"/>
    <w:rsid w:val="008850EF"/>
    <w:rsid w:val="00906FF7"/>
    <w:rsid w:val="009745BE"/>
    <w:rsid w:val="009D3AC4"/>
    <w:rsid w:val="00AD2B13"/>
    <w:rsid w:val="00AE6185"/>
    <w:rsid w:val="00B622ED"/>
    <w:rsid w:val="00B9584E"/>
    <w:rsid w:val="00C103CD"/>
    <w:rsid w:val="00C232A0"/>
    <w:rsid w:val="00C5751F"/>
    <w:rsid w:val="00D47F19"/>
    <w:rsid w:val="00D82F66"/>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13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5613E"/>
    <w:rPr>
      <w:color w:val="0000FF"/>
      <w:u w:val="single"/>
    </w:rPr>
  </w:style>
  <w:style w:type="paragraph" w:customStyle="1" w:styleId="reference">
    <w:name w:val="reference"/>
    <w:basedOn w:val="a"/>
    <w:rsid w:val="0015613E"/>
    <w:pPr>
      <w:widowControl w:val="0"/>
      <w:numPr>
        <w:numId w:val="8"/>
      </w:numPr>
      <w:snapToGrid w:val="0"/>
      <w:spacing w:line="240" w:lineRule="atLeast"/>
      <w:jc w:val="both"/>
    </w:pPr>
    <w:rPr>
      <w:rFonts w:ascii="Times" w:eastAsia="MS Mincho" w:hAnsi="Times"/>
      <w:kern w:val="2"/>
      <w:sz w:val="18"/>
      <w:szCs w:val="20"/>
      <w:lang w:val="en-US" w:eastAsia="ja-JP"/>
    </w:rPr>
  </w:style>
  <w:style w:type="paragraph" w:styleId="a8">
    <w:name w:val="footnote text"/>
    <w:basedOn w:val="a"/>
    <w:link w:val="a9"/>
    <w:rsid w:val="009745BE"/>
    <w:rPr>
      <w:sz w:val="20"/>
      <w:szCs w:val="20"/>
    </w:rPr>
  </w:style>
  <w:style w:type="character" w:customStyle="1" w:styleId="a9">
    <w:name w:val="Текст сноски Знак"/>
    <w:basedOn w:val="a0"/>
    <w:link w:val="a8"/>
    <w:rsid w:val="009745BE"/>
  </w:style>
  <w:style w:type="character" w:styleId="aa">
    <w:name w:val="footnote reference"/>
    <w:basedOn w:val="a0"/>
    <w:rsid w:val="009745B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kez_DI@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67/UFNr.0178.200805f.051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Q-Cherkez.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FA8AF-0626-46B6-9767-30EAED53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449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HELICON TYPE HF-PLASMA SOURCE FOR PLASMSA-MATERIAL STUDIES</dc:title>
  <dc:creator/>
  <cp:lastModifiedBy>Сатунин</cp:lastModifiedBy>
  <cp:revision>3</cp:revision>
  <cp:lastPrinted>1601-01-01T00:00:00Z</cp:lastPrinted>
  <dcterms:created xsi:type="dcterms:W3CDTF">2021-02-03T16:29:00Z</dcterms:created>
  <dcterms:modified xsi:type="dcterms:W3CDTF">2021-06-10T10:29:00Z</dcterms:modified>
</cp:coreProperties>
</file>