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57" w:rsidRPr="00F939AB" w:rsidRDefault="00651FB2" w:rsidP="00A23057">
      <w:pPr>
        <w:pStyle w:val="Zv-Titlereport"/>
        <w:rPr>
          <w:lang w:val="en-US"/>
        </w:rPr>
      </w:pPr>
      <w:r w:rsidRPr="00651FB2">
        <w:rPr>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2.05pt;margin-top:-20.2pt;width:187.55pt;height:20.6pt;z-index:-251656192;mso-height-percent:200;mso-height-percent:200;mso-width-relative:margin;mso-height-relative:margin" stroked="f">
            <v:textbox style="mso-fit-shape-to-text:t">
              <w:txbxContent>
                <w:p w:rsidR="00651FB2" w:rsidRPr="00651FB2" w:rsidRDefault="00651FB2">
                  <w:pPr>
                    <w:rPr>
                      <w:sz w:val="22"/>
                      <w:szCs w:val="22"/>
                    </w:rPr>
                  </w:pPr>
                  <w:r w:rsidRPr="00651FB2">
                    <w:rPr>
                      <w:sz w:val="22"/>
                      <w:szCs w:val="22"/>
                      <w:lang w:val="en-US"/>
                    </w:rPr>
                    <w:t xml:space="preserve">DOI: </w:t>
                  </w:r>
                  <w:r w:rsidRPr="00651FB2">
                    <w:rPr>
                      <w:sz w:val="22"/>
                      <w:szCs w:val="22"/>
                    </w:rPr>
                    <w:t>10.34854/ICPAF.2020.47.1.008</w:t>
                  </w:r>
                </w:p>
              </w:txbxContent>
            </v:textbox>
            <w10:anchorlock/>
          </v:shape>
        </w:pict>
      </w:r>
      <w:r w:rsidR="00A23057">
        <w:rPr>
          <w:lang w:val="en-US"/>
        </w:rPr>
        <w:t>Thermal energy confinement At the Globus-M/M2 spherical tokamaks</w:t>
      </w:r>
      <w:r>
        <w:rPr>
          <w:lang w:val="en-US"/>
        </w:rPr>
        <w:t xml:space="preserve"> </w:t>
      </w:r>
      <w:r>
        <w:rPr>
          <w:rStyle w:val="ab"/>
          <w:lang w:val="en-US"/>
        </w:rPr>
        <w:footnoteReference w:customMarkFollows="1" w:id="1"/>
        <w:t>*)</w:t>
      </w:r>
    </w:p>
    <w:p w:rsidR="00A23057" w:rsidRDefault="00A23057" w:rsidP="00A23057">
      <w:pPr>
        <w:pStyle w:val="Zv-Author"/>
        <w:rPr>
          <w:lang w:val="en-US"/>
        </w:rPr>
      </w:pPr>
      <w:r w:rsidRPr="00F939AB">
        <w:rPr>
          <w:u w:val="single"/>
          <w:lang w:val="en-US"/>
        </w:rPr>
        <w:t>G.S. Kurskiev</w:t>
      </w:r>
      <w:bookmarkStart w:id="0" w:name="_Hlk25331082"/>
      <w:r w:rsidRPr="00B85F92">
        <w:rPr>
          <w:u w:val="single"/>
          <w:vertAlign w:val="superscript"/>
          <w:lang w:val="en-US"/>
        </w:rPr>
        <w:t>1</w:t>
      </w:r>
      <w:bookmarkEnd w:id="0"/>
      <w:r w:rsidRPr="00F939AB">
        <w:rPr>
          <w:lang w:val="en-US"/>
        </w:rPr>
        <w:t>, N.V. Sakharov</w:t>
      </w:r>
      <w:r w:rsidRPr="00B85F92">
        <w:rPr>
          <w:vertAlign w:val="superscript"/>
          <w:lang w:val="en-US"/>
        </w:rPr>
        <w:t>1</w:t>
      </w:r>
      <w:r w:rsidRPr="00F939AB">
        <w:rPr>
          <w:lang w:val="en-US"/>
        </w:rPr>
        <w:t>, I.M. Balachenkov</w:t>
      </w:r>
      <w:r w:rsidRPr="00B85F92">
        <w:rPr>
          <w:vertAlign w:val="superscript"/>
          <w:lang w:val="en-US"/>
        </w:rPr>
        <w:t>1</w:t>
      </w:r>
      <w:r w:rsidRPr="00F939AB">
        <w:rPr>
          <w:vertAlign w:val="subscript"/>
          <w:lang w:val="en-US"/>
        </w:rPr>
        <w:t>,</w:t>
      </w:r>
      <w:r w:rsidRPr="00F939AB">
        <w:rPr>
          <w:lang w:val="en-US"/>
        </w:rPr>
        <w:t xml:space="preserve"> N.N. Bakharev</w:t>
      </w:r>
      <w:r w:rsidRPr="00B85F92">
        <w:rPr>
          <w:vertAlign w:val="superscript"/>
          <w:lang w:val="en-US"/>
        </w:rPr>
        <w:t>1</w:t>
      </w:r>
      <w:r w:rsidRPr="00F939AB">
        <w:rPr>
          <w:lang w:val="en-US"/>
        </w:rPr>
        <w:t xml:space="preserve">, </w:t>
      </w:r>
      <w:r>
        <w:rPr>
          <w:lang w:val="en-US"/>
        </w:rPr>
        <w:t>V.V. Bulanin</w:t>
      </w:r>
      <w:r w:rsidRPr="00F939AB">
        <w:rPr>
          <w:vertAlign w:val="superscript"/>
          <w:lang w:val="en-US"/>
        </w:rPr>
        <w:t>2</w:t>
      </w:r>
      <w:r>
        <w:rPr>
          <w:lang w:val="en-US"/>
        </w:rPr>
        <w:t>,</w:t>
      </w:r>
      <w:r w:rsidRPr="00F939AB">
        <w:rPr>
          <w:lang w:val="en-US"/>
        </w:rPr>
        <w:t xml:space="preserve"> V.I.</w:t>
      </w:r>
      <w:r>
        <w:rPr>
          <w:lang w:val="en-US"/>
        </w:rPr>
        <w:t> </w:t>
      </w:r>
      <w:r w:rsidRPr="00F939AB">
        <w:rPr>
          <w:lang w:val="en-US"/>
        </w:rPr>
        <w:t>Varfolomeev</w:t>
      </w:r>
      <w:r w:rsidRPr="00B85F92">
        <w:rPr>
          <w:vertAlign w:val="superscript"/>
          <w:lang w:val="en-US"/>
        </w:rPr>
        <w:t>1</w:t>
      </w:r>
      <w:r>
        <w:rPr>
          <w:lang w:val="en-US"/>
        </w:rPr>
        <w:t>,</w:t>
      </w:r>
      <w:r w:rsidRPr="00F939AB">
        <w:rPr>
          <w:lang w:val="en-US"/>
        </w:rPr>
        <w:t xml:space="preserve"> V.K. Gusev</w:t>
      </w:r>
      <w:r w:rsidRPr="00B85F92">
        <w:rPr>
          <w:vertAlign w:val="superscript"/>
          <w:lang w:val="en-US"/>
        </w:rPr>
        <w:t>1</w:t>
      </w:r>
      <w:r w:rsidRPr="00F939AB">
        <w:rPr>
          <w:lang w:val="en-US"/>
        </w:rPr>
        <w:t>,</w:t>
      </w:r>
      <w:r>
        <w:rPr>
          <w:lang w:val="en-US"/>
        </w:rPr>
        <w:t xml:space="preserve"> </w:t>
      </w:r>
      <w:r w:rsidRPr="00F939AB">
        <w:rPr>
          <w:lang w:val="en-US"/>
        </w:rPr>
        <w:t>N.S. Zhiltsov</w:t>
      </w:r>
      <w:r w:rsidRPr="00B85F92">
        <w:rPr>
          <w:vertAlign w:val="superscript"/>
          <w:lang w:val="en-US"/>
        </w:rPr>
        <w:t>1</w:t>
      </w:r>
      <w:r>
        <w:rPr>
          <w:lang w:val="en-US"/>
        </w:rPr>
        <w:t>,</w:t>
      </w:r>
      <w:r w:rsidRPr="00F939AB">
        <w:rPr>
          <w:lang w:val="en-US"/>
        </w:rPr>
        <w:t xml:space="preserve"> </w:t>
      </w:r>
      <w:r>
        <w:rPr>
          <w:lang w:val="en-US"/>
        </w:rPr>
        <w:t>A.A. Kavin</w:t>
      </w:r>
      <w:r w:rsidRPr="00F939AB">
        <w:rPr>
          <w:vertAlign w:val="superscript"/>
          <w:lang w:val="en-US"/>
        </w:rPr>
        <w:t>3</w:t>
      </w:r>
      <w:r>
        <w:rPr>
          <w:lang w:val="en-US"/>
        </w:rPr>
        <w:t xml:space="preserve">, </w:t>
      </w:r>
      <w:r w:rsidRPr="00F939AB">
        <w:rPr>
          <w:lang w:val="en-US"/>
        </w:rPr>
        <w:t>E.O. Kiselev</w:t>
      </w:r>
      <w:r w:rsidRPr="00B85F92">
        <w:rPr>
          <w:vertAlign w:val="superscript"/>
          <w:lang w:val="en-US"/>
        </w:rPr>
        <w:t>1</w:t>
      </w:r>
      <w:r w:rsidRPr="00F939AB">
        <w:rPr>
          <w:lang w:val="en-US"/>
        </w:rPr>
        <w:t>,</w:t>
      </w:r>
      <w:r>
        <w:rPr>
          <w:lang w:val="en-US"/>
        </w:rPr>
        <w:t xml:space="preserve"> S.V.</w:t>
      </w:r>
      <w:r w:rsidRPr="00B85F92">
        <w:rPr>
          <w:lang w:val="en-US"/>
        </w:rPr>
        <w:t> </w:t>
      </w:r>
      <w:r>
        <w:rPr>
          <w:lang w:val="en-US"/>
        </w:rPr>
        <w:t>Krikunov</w:t>
      </w:r>
      <w:r w:rsidRPr="00B85F92">
        <w:rPr>
          <w:vertAlign w:val="superscript"/>
          <w:lang w:val="en-US"/>
        </w:rPr>
        <w:t>1</w:t>
      </w:r>
      <w:r>
        <w:rPr>
          <w:lang w:val="en-US"/>
        </w:rPr>
        <w:t>, A.N. Novokhatskii</w:t>
      </w:r>
      <w:r w:rsidRPr="00B85F92">
        <w:rPr>
          <w:vertAlign w:val="superscript"/>
          <w:lang w:val="en-US"/>
        </w:rPr>
        <w:t>1</w:t>
      </w:r>
      <w:r>
        <w:rPr>
          <w:lang w:val="en-US"/>
        </w:rPr>
        <w:t>,</w:t>
      </w:r>
      <w:r w:rsidRPr="00F939AB">
        <w:rPr>
          <w:lang w:val="en-US"/>
        </w:rPr>
        <w:t xml:space="preserve"> V.B. Minaev</w:t>
      </w:r>
      <w:r w:rsidRPr="00B85F92">
        <w:rPr>
          <w:vertAlign w:val="superscript"/>
          <w:lang w:val="en-US"/>
        </w:rPr>
        <w:t>1</w:t>
      </w:r>
      <w:r w:rsidRPr="00F939AB">
        <w:rPr>
          <w:lang w:val="en-US"/>
        </w:rPr>
        <w:t>, I.V. Miroshnikov</w:t>
      </w:r>
      <w:r w:rsidRPr="00B85F92">
        <w:rPr>
          <w:vertAlign w:val="superscript"/>
          <w:lang w:val="en-US"/>
        </w:rPr>
        <w:t>1</w:t>
      </w:r>
      <w:r>
        <w:rPr>
          <w:lang w:val="en-US"/>
        </w:rPr>
        <w:t>,</w:t>
      </w:r>
      <w:r w:rsidRPr="00F939AB">
        <w:rPr>
          <w:lang w:val="en-US"/>
        </w:rPr>
        <w:t xml:space="preserve"> M.I. Patrov</w:t>
      </w:r>
      <w:r w:rsidRPr="00B85F92">
        <w:rPr>
          <w:vertAlign w:val="superscript"/>
          <w:lang w:val="en-US"/>
        </w:rPr>
        <w:t>1</w:t>
      </w:r>
      <w:r w:rsidRPr="00F939AB">
        <w:rPr>
          <w:lang w:val="en-US"/>
        </w:rPr>
        <w:t>,</w:t>
      </w:r>
      <w:r>
        <w:rPr>
          <w:lang w:val="en-US"/>
        </w:rPr>
        <w:t xml:space="preserve"> A.V. Petrov</w:t>
      </w:r>
      <w:r>
        <w:rPr>
          <w:vertAlign w:val="superscript"/>
          <w:lang w:val="en-US"/>
        </w:rPr>
        <w:t>2</w:t>
      </w:r>
      <w:r>
        <w:rPr>
          <w:lang w:val="en-US"/>
        </w:rPr>
        <w:t>,</w:t>
      </w:r>
      <w:r w:rsidRPr="00F939AB">
        <w:rPr>
          <w:lang w:val="en-US"/>
        </w:rPr>
        <w:t xml:space="preserve"> Yu.V. Petrov</w:t>
      </w:r>
      <w:r w:rsidRPr="00B85F92">
        <w:rPr>
          <w:vertAlign w:val="superscript"/>
          <w:lang w:val="en-US"/>
        </w:rPr>
        <w:t>1</w:t>
      </w:r>
      <w:r w:rsidRPr="00F939AB">
        <w:rPr>
          <w:lang w:val="en-US"/>
        </w:rPr>
        <w:t>, P.B. Shchegolev</w:t>
      </w:r>
      <w:r w:rsidRPr="00B85F92">
        <w:rPr>
          <w:vertAlign w:val="superscript"/>
          <w:lang w:val="en-US"/>
        </w:rPr>
        <w:t>1</w:t>
      </w:r>
      <w:r w:rsidRPr="00F939AB">
        <w:rPr>
          <w:lang w:val="en-US"/>
        </w:rPr>
        <w:t xml:space="preserve">, </w:t>
      </w:r>
      <w:r>
        <w:rPr>
          <w:lang w:val="en-US"/>
        </w:rPr>
        <w:t>K.D. Shulyatiev</w:t>
      </w:r>
      <w:r w:rsidRPr="00EB7E2E">
        <w:rPr>
          <w:vertAlign w:val="superscript"/>
          <w:lang w:val="en-US"/>
        </w:rPr>
        <w:t>1</w:t>
      </w:r>
      <w:r>
        <w:rPr>
          <w:lang w:val="en-US"/>
        </w:rPr>
        <w:t xml:space="preserve">, </w:t>
      </w:r>
      <w:r w:rsidRPr="00F939AB">
        <w:rPr>
          <w:lang w:val="en-US"/>
        </w:rPr>
        <w:t>A.Yu. Telnova</w:t>
      </w:r>
      <w:r w:rsidRPr="00B85F92">
        <w:rPr>
          <w:vertAlign w:val="superscript"/>
          <w:lang w:val="en-US"/>
        </w:rPr>
        <w:t>1</w:t>
      </w:r>
      <w:r w:rsidRPr="00F939AB">
        <w:rPr>
          <w:lang w:val="en-US"/>
        </w:rPr>
        <w:t>, S.Yu.</w:t>
      </w:r>
      <w:r>
        <w:rPr>
          <w:lang w:val="en-US"/>
        </w:rPr>
        <w:t> </w:t>
      </w:r>
      <w:r w:rsidRPr="00F939AB">
        <w:rPr>
          <w:lang w:val="en-US"/>
        </w:rPr>
        <w:t>Tolstyakov</w:t>
      </w:r>
      <w:r w:rsidRPr="00B85F92">
        <w:rPr>
          <w:vertAlign w:val="superscript"/>
          <w:lang w:val="en-US"/>
        </w:rPr>
        <w:t>1</w:t>
      </w:r>
      <w:r w:rsidRPr="00F939AB">
        <w:rPr>
          <w:lang w:val="en-US"/>
        </w:rPr>
        <w:t>, E.A. Tukhmeneva</w:t>
      </w:r>
      <w:r w:rsidRPr="00B85F92">
        <w:rPr>
          <w:vertAlign w:val="superscript"/>
          <w:lang w:val="en-US"/>
        </w:rPr>
        <w:t>1</w:t>
      </w:r>
      <w:r w:rsidRPr="00F939AB">
        <w:rPr>
          <w:lang w:val="en-US"/>
        </w:rPr>
        <w:t>,</w:t>
      </w:r>
      <w:r>
        <w:rPr>
          <w:lang w:val="en-US"/>
        </w:rPr>
        <w:t xml:space="preserve"> </w:t>
      </w:r>
      <w:r w:rsidRPr="00F939AB">
        <w:rPr>
          <w:lang w:val="en-US"/>
        </w:rPr>
        <w:t>N.A.</w:t>
      </w:r>
      <w:r>
        <w:rPr>
          <w:lang w:val="en-US"/>
        </w:rPr>
        <w:t xml:space="preserve"> </w:t>
      </w:r>
      <w:r w:rsidRPr="00F939AB">
        <w:rPr>
          <w:lang w:val="en-US"/>
        </w:rPr>
        <w:t>Khromov</w:t>
      </w:r>
      <w:r w:rsidRPr="00B85F92">
        <w:rPr>
          <w:vertAlign w:val="superscript"/>
          <w:lang w:val="en-US"/>
        </w:rPr>
        <w:t>1</w:t>
      </w:r>
      <w:r w:rsidRPr="00F939AB">
        <w:rPr>
          <w:lang w:val="en-US"/>
        </w:rPr>
        <w:t>,</w:t>
      </w:r>
      <w:r w:rsidR="00DB654E" w:rsidRPr="00F939AB">
        <w:rPr>
          <w:lang w:val="en-US"/>
        </w:rPr>
        <w:t xml:space="preserve"> F.V.</w:t>
      </w:r>
      <w:r w:rsidR="00DB654E" w:rsidRPr="00DB654E">
        <w:rPr>
          <w:lang w:val="en-US"/>
        </w:rPr>
        <w:t xml:space="preserve"> </w:t>
      </w:r>
      <w:r w:rsidR="00DB654E" w:rsidRPr="00F939AB">
        <w:rPr>
          <w:lang w:val="en-US"/>
        </w:rPr>
        <w:t>Chernyshev</w:t>
      </w:r>
      <w:r w:rsidR="00DB654E" w:rsidRPr="00B85F92">
        <w:rPr>
          <w:vertAlign w:val="superscript"/>
          <w:lang w:val="en-US"/>
        </w:rPr>
        <w:t>1</w:t>
      </w:r>
      <w:r w:rsidR="00DB654E" w:rsidRPr="00F939AB">
        <w:rPr>
          <w:lang w:val="en-US"/>
        </w:rPr>
        <w:t>,</w:t>
      </w:r>
      <w:r w:rsidRPr="00F939AB">
        <w:rPr>
          <w:lang w:val="en-US"/>
        </w:rPr>
        <w:t xml:space="preserve"> V.A. Tokarev</w:t>
      </w:r>
      <w:r w:rsidRPr="00B85F92">
        <w:rPr>
          <w:vertAlign w:val="superscript"/>
          <w:lang w:val="en-US"/>
        </w:rPr>
        <w:t>1</w:t>
      </w:r>
      <w:r w:rsidRPr="00F939AB">
        <w:rPr>
          <w:lang w:val="en-US"/>
        </w:rPr>
        <w:t xml:space="preserve">, </w:t>
      </w:r>
      <w:r w:rsidRPr="00B85F92">
        <w:rPr>
          <w:lang w:val="en-GB"/>
        </w:rPr>
        <w:t>A</w:t>
      </w:r>
      <w:r>
        <w:rPr>
          <w:lang w:val="en-GB"/>
        </w:rPr>
        <w:t>.</w:t>
      </w:r>
      <w:r w:rsidRPr="00B85F92">
        <w:rPr>
          <w:lang w:val="en-GB"/>
        </w:rPr>
        <w:t>Yu</w:t>
      </w:r>
      <w:r>
        <w:rPr>
          <w:lang w:val="en-GB"/>
        </w:rPr>
        <w:t>.</w:t>
      </w:r>
      <w:r w:rsidRPr="00B85F92">
        <w:rPr>
          <w:lang w:val="en-GB"/>
        </w:rPr>
        <w:t xml:space="preserve"> Yashin</w:t>
      </w:r>
      <w:r w:rsidRPr="00B85F92">
        <w:rPr>
          <w:vertAlign w:val="superscript"/>
          <w:lang w:val="en-US"/>
        </w:rPr>
        <w:t>2</w:t>
      </w:r>
    </w:p>
    <w:p w:rsidR="00A23057" w:rsidRPr="00B85F92" w:rsidRDefault="00A23057" w:rsidP="00A23057">
      <w:pPr>
        <w:pStyle w:val="Zv-Organization"/>
        <w:rPr>
          <w:lang w:val="en-GB"/>
        </w:rPr>
      </w:pPr>
      <w:r w:rsidRPr="00B85F92">
        <w:rPr>
          <w:vertAlign w:val="superscript"/>
          <w:lang w:val="en-GB"/>
        </w:rPr>
        <w:t>1</w:t>
      </w:r>
      <w:r w:rsidRPr="00B85F92">
        <w:rPr>
          <w:lang w:val="en-GB"/>
        </w:rPr>
        <w:t>Ioffe Institute, St. Petersburg, Russia</w:t>
      </w:r>
      <w:r>
        <w:rPr>
          <w:lang w:val="en-GB"/>
        </w:rPr>
        <w:br/>
      </w:r>
      <w:r w:rsidRPr="00B85F92">
        <w:rPr>
          <w:bCs/>
          <w:vertAlign w:val="superscript"/>
          <w:lang w:val="en-GB"/>
        </w:rPr>
        <w:t>2</w:t>
      </w:r>
      <w:r w:rsidRPr="00B85F92">
        <w:rPr>
          <w:lang w:val="en-GB"/>
        </w:rPr>
        <w:t>Peter the Great St. Petersburg Polytechnic University, St. Petersburg, Russia</w:t>
      </w:r>
      <w:r>
        <w:rPr>
          <w:lang w:val="en-GB"/>
        </w:rPr>
        <w:br/>
      </w:r>
      <w:r w:rsidRPr="00DB654E">
        <w:rPr>
          <w:rFonts w:asciiTheme="minorHAnsi" w:hAnsiTheme="minorHAnsi"/>
          <w:vertAlign w:val="superscript"/>
          <w:lang w:val="en-US"/>
        </w:rPr>
        <w:t>3</w:t>
      </w:r>
      <w:r w:rsidRPr="00B85F92">
        <w:rPr>
          <w:lang w:val="en-GB"/>
        </w:rPr>
        <w:t>JSC «NIIEFA»,</w:t>
      </w:r>
      <w:r w:rsidRPr="00B85F92">
        <w:rPr>
          <w:vertAlign w:val="superscript"/>
          <w:lang w:val="en-GB"/>
        </w:rPr>
        <w:t xml:space="preserve"> </w:t>
      </w:r>
      <w:r w:rsidRPr="00B85F92">
        <w:rPr>
          <w:lang w:val="en-GB"/>
        </w:rPr>
        <w:t>St. Petersburg, Russia</w:t>
      </w:r>
    </w:p>
    <w:p w:rsidR="00A23057" w:rsidRDefault="00A23057" w:rsidP="00A23057">
      <w:pPr>
        <w:pStyle w:val="Zv-bodyreport"/>
        <w:rPr>
          <w:lang w:val="en-US"/>
        </w:rPr>
      </w:pPr>
      <w:r>
        <w:rPr>
          <w:lang w:val="en-US"/>
        </w:rPr>
        <w:t xml:space="preserve">The presentation is devoted to the thermal energy confinement study at the compact spherical tokamaks Globus-M and Globus-M2. Experiments were performed under auxiliary heating using neutral beam injection (NBI) in plasma with lower null magnetic configuration (major radius </w:t>
      </w:r>
      <w:r>
        <w:rPr>
          <w:i/>
          <w:lang w:val="en-US"/>
        </w:rPr>
        <w:t>R</w:t>
      </w:r>
      <w:r>
        <w:rPr>
          <w:lang w:val="en-US"/>
        </w:rPr>
        <w:t xml:space="preserve"> = 0.35 m, minor radius </w:t>
      </w:r>
      <w:r>
        <w:rPr>
          <w:i/>
          <w:lang w:val="en-US"/>
        </w:rPr>
        <w:t>a</w:t>
      </w:r>
      <w:r>
        <w:rPr>
          <w:lang w:val="en-US"/>
        </w:rPr>
        <w:t xml:space="preserve"> = 0.21-0.22, elongation </w:t>
      </w:r>
      <w:r>
        <w:rPr>
          <w:i/>
        </w:rPr>
        <w:t>κ</w:t>
      </w:r>
      <w:r>
        <w:rPr>
          <w:lang w:val="en-US"/>
        </w:rPr>
        <w:t xml:space="preserve">~1.9, triangularity </w:t>
      </w:r>
      <w:r>
        <w:rPr>
          <w:i/>
        </w:rPr>
        <w:t>δ</w:t>
      </w:r>
      <w:r>
        <w:rPr>
          <w:lang w:val="en-US"/>
        </w:rPr>
        <w:t xml:space="preserve">~0.35) for the ranges of plasma current and toroidal magnetic field: </w:t>
      </w:r>
      <w:r>
        <w:rPr>
          <w:i/>
          <w:lang w:val="en-US"/>
        </w:rPr>
        <w:t>I</w:t>
      </w:r>
      <w:r>
        <w:rPr>
          <w:i/>
          <w:vertAlign w:val="subscript"/>
          <w:lang w:val="en-US"/>
        </w:rPr>
        <w:t>p</w:t>
      </w:r>
      <w:r>
        <w:rPr>
          <w:lang w:val="en-US"/>
        </w:rPr>
        <w:t xml:space="preserve">=0.12-0.25 MA, </w:t>
      </w:r>
      <w:r>
        <w:rPr>
          <w:i/>
          <w:lang w:val="en-US"/>
        </w:rPr>
        <w:t>B</w:t>
      </w:r>
      <w:r>
        <w:rPr>
          <w:i/>
          <w:vertAlign w:val="subscript"/>
          <w:lang w:val="en-US"/>
        </w:rPr>
        <w:t>T</w:t>
      </w:r>
      <w:r>
        <w:rPr>
          <w:lang w:val="en-US"/>
        </w:rPr>
        <w:t>=0.25-0.5 T. It have been shown that energy confinement time (</w:t>
      </w:r>
      <w:r>
        <w:rPr>
          <w:i/>
        </w:rPr>
        <w:t>τ</w:t>
      </w:r>
      <w:r>
        <w:rPr>
          <w:i/>
          <w:vertAlign w:val="subscript"/>
          <w:lang w:val="en-US"/>
        </w:rPr>
        <w:t>E</w:t>
      </w:r>
      <w:r>
        <w:rPr>
          <w:lang w:val="en-US"/>
        </w:rPr>
        <w:t>) dependence on B</w:t>
      </w:r>
      <w:r>
        <w:rPr>
          <w:vertAlign w:val="subscript"/>
          <w:lang w:val="en-US"/>
        </w:rPr>
        <w:t xml:space="preserve">T </w:t>
      </w:r>
      <w:r>
        <w:rPr>
          <w:lang w:val="en-US"/>
        </w:rPr>
        <w:t xml:space="preserve">is very strong, while the </w:t>
      </w:r>
      <w:r>
        <w:rPr>
          <w:i/>
        </w:rPr>
        <w:t>τ</w:t>
      </w:r>
      <w:r>
        <w:rPr>
          <w:i/>
          <w:vertAlign w:val="subscript"/>
          <w:lang w:val="en-US"/>
        </w:rPr>
        <w:t>E</w:t>
      </w:r>
      <w:r>
        <w:rPr>
          <w:lang w:val="en-US"/>
        </w:rPr>
        <w:t xml:space="preserve"> dependence on plasma current </w:t>
      </w:r>
      <w:r>
        <w:rPr>
          <w:i/>
          <w:lang w:val="en-US"/>
        </w:rPr>
        <w:t>I</w:t>
      </w:r>
      <w:r>
        <w:rPr>
          <w:i/>
          <w:vertAlign w:val="subscript"/>
          <w:lang w:val="en-US"/>
        </w:rPr>
        <w:t>p</w:t>
      </w:r>
      <w:r>
        <w:rPr>
          <w:lang w:val="en-US"/>
        </w:rPr>
        <w:t xml:space="preserve"> is significantly weaker than IPB98(y,2) scaling predicts: </w:t>
      </w:r>
      <w:r>
        <w:rPr>
          <w:i/>
        </w:rPr>
        <w:t>τ</w:t>
      </w:r>
      <w:r>
        <w:rPr>
          <w:i/>
          <w:vertAlign w:val="subscript"/>
          <w:lang w:val="en-US"/>
        </w:rPr>
        <w:t>E</w:t>
      </w:r>
      <w:r>
        <w:rPr>
          <w:lang w:val="en-US"/>
        </w:rPr>
        <w:t>~</w:t>
      </w:r>
      <m:oMath>
        <m:sSubSup>
          <m:sSubSupPr>
            <m:ctrlPr>
              <w:rPr>
                <w:rFonts w:ascii="Cambria Math" w:eastAsia="Cambria Math" w:hAnsi="Cambria Math"/>
              </w:rPr>
            </m:ctrlPr>
          </m:sSubSupPr>
          <m:e>
            <m:r>
              <m:rPr>
                <m:sty m:val="bi"/>
              </m:rPr>
              <w:rPr>
                <w:rFonts w:ascii="Cambria Math" w:eastAsia="Cambria Math" w:hAnsi="Cambria Math"/>
              </w:rPr>
              <m:t>I</m:t>
            </m:r>
          </m:e>
          <m:sub>
            <m:r>
              <m:rPr>
                <m:sty m:val="bi"/>
              </m:rPr>
              <w:rPr>
                <w:rFonts w:ascii="Cambria Math" w:eastAsia="Cambria Math" w:hAnsi="Cambria Math"/>
              </w:rPr>
              <m:t>p</m:t>
            </m:r>
          </m:sub>
          <m:sup>
            <m:r>
              <m:rPr>
                <m:sty m:val="bi"/>
              </m:rPr>
              <w:rPr>
                <w:rFonts w:ascii="Cambria Math" w:eastAsia="Cambria Math" w:hAnsi="Cambria Math"/>
                <w:lang w:val="en-US"/>
              </w:rPr>
              <m:t>0</m:t>
            </m:r>
            <m:r>
              <w:rPr>
                <w:rFonts w:ascii="Cambria Math" w:eastAsia="Cambria Math" w:hAnsi="Cambria Math"/>
                <w:lang w:val="en-US"/>
              </w:rPr>
              <m:t>.48±0.21</m:t>
            </m:r>
          </m:sup>
        </m:sSubSup>
        <m:sSubSup>
          <m:sSubSupPr>
            <m:ctrlPr>
              <w:rPr>
                <w:rFonts w:ascii="Cambria Math" w:eastAsia="Cambria Math" w:hAnsi="Cambria Math"/>
              </w:rPr>
            </m:ctrlPr>
          </m:sSubSupPr>
          <m:e>
            <m:r>
              <m:rPr>
                <m:sty m:val="bi"/>
              </m:rPr>
              <w:rPr>
                <w:rFonts w:ascii="Cambria Math" w:eastAsia="Cambria Math" w:hAnsi="Cambria Math"/>
              </w:rPr>
              <m:t>B</m:t>
            </m:r>
          </m:e>
          <m:sub>
            <m:r>
              <m:rPr>
                <m:sty m:val="bi"/>
              </m:rPr>
              <w:rPr>
                <w:rFonts w:ascii="Cambria Math" w:eastAsia="Cambria Math" w:hAnsi="Cambria Math"/>
              </w:rPr>
              <m:t>T</m:t>
            </m:r>
          </m:sub>
          <m:sup>
            <m:r>
              <m:rPr>
                <m:sty m:val="bi"/>
              </m:rPr>
              <w:rPr>
                <w:rFonts w:ascii="Cambria Math" w:eastAsia="Cambria Math" w:hAnsi="Cambria Math"/>
                <w:lang w:val="en-US"/>
              </w:rPr>
              <m:t>1</m:t>
            </m:r>
            <m:r>
              <w:rPr>
                <w:rFonts w:ascii="Cambria Math" w:eastAsia="Cambria Math" w:hAnsi="Cambria Math"/>
                <w:lang w:val="en-US"/>
              </w:rPr>
              <m:t>.28±0.12</m:t>
            </m:r>
          </m:sup>
        </m:sSubSup>
      </m:oMath>
      <w:r>
        <w:rPr>
          <w:lang w:val="en-US"/>
        </w:rPr>
        <w:t xml:space="preserve">. The improvement of </w:t>
      </w:r>
      <w:r>
        <w:rPr>
          <w:i/>
        </w:rPr>
        <w:t>τ</w:t>
      </w:r>
      <w:r>
        <w:rPr>
          <w:i/>
          <w:vertAlign w:val="subscript"/>
          <w:lang w:val="en-US"/>
        </w:rPr>
        <w:t>E</w:t>
      </w:r>
      <w:r>
        <w:rPr>
          <w:lang w:val="en-US"/>
        </w:rPr>
        <w:t xml:space="preserve"> was mostly by electron heat diffusivity decrease with toroidal field rise, while the ion heat diffusivity was in line with neoclassical theory predictions.</w:t>
      </w:r>
    </w:p>
    <w:p w:rsidR="00A23057" w:rsidRPr="001B7087" w:rsidRDefault="00A23057" w:rsidP="00A23057">
      <w:pPr>
        <w:pStyle w:val="Zv-bodyreport"/>
        <w:rPr>
          <w:lang w:val="en-US"/>
        </w:rPr>
      </w:pPr>
      <w:r>
        <w:rPr>
          <w:lang w:val="en-US"/>
        </w:rPr>
        <w:t xml:space="preserve">The first NBI experiments were carried out at the Globus-M2 for the increased range of plasma current and toroidal magnetic field: </w:t>
      </w:r>
      <w:r>
        <w:rPr>
          <w:i/>
          <w:lang w:val="en-US"/>
        </w:rPr>
        <w:t>I</w:t>
      </w:r>
      <w:r>
        <w:rPr>
          <w:i/>
          <w:vertAlign w:val="subscript"/>
          <w:lang w:val="en-US"/>
        </w:rPr>
        <w:t>p</w:t>
      </w:r>
      <w:r>
        <w:rPr>
          <w:lang w:val="en-US"/>
        </w:rPr>
        <w:t xml:space="preserve"> =0.25-0.3 MA and </w:t>
      </w:r>
      <w:r>
        <w:rPr>
          <w:i/>
          <w:lang w:val="en-US"/>
        </w:rPr>
        <w:t>B</w:t>
      </w:r>
      <w:r>
        <w:rPr>
          <w:i/>
          <w:vertAlign w:val="subscript"/>
          <w:lang w:val="en-US"/>
        </w:rPr>
        <w:t>T</w:t>
      </w:r>
      <w:r>
        <w:rPr>
          <w:lang w:val="en-US"/>
        </w:rPr>
        <w:t xml:space="preserve"> = 0.7 T. During NBI heating (D-beam, 28 keV, 0.8 MW) the plasma total stored energy measured by the diamagnetic coil increased more than twice (in comparison with the Globus-M results). Diamagnetic measurements were confirmed by the kinetic (electron and ion temperature profiles) measurements. Thermal energy confinement time was estimated by 1.5D ASTRA transport modeling while the beam absorbed power was derived using two codes: NUBEAM code and 3D fast ion tracking algorithm. The obtained </w:t>
      </w:r>
      <w:r>
        <w:t>τ</w:t>
      </w:r>
      <w:r>
        <w:rPr>
          <w:vertAlign w:val="subscript"/>
          <w:lang w:val="en-US"/>
        </w:rPr>
        <w:t>E</w:t>
      </w:r>
      <w:r>
        <w:rPr>
          <w:lang w:val="en-US"/>
        </w:rPr>
        <w:t xml:space="preserve"> values are higher than those predicted by IPB98(y,2) and are in good agreement with the Globus-M scaling.</w:t>
      </w:r>
      <w:r w:rsidRPr="001B7087">
        <w:rPr>
          <w:lang w:val="en-US"/>
        </w:rPr>
        <w:t xml:space="preserve"> </w:t>
      </w:r>
    </w:p>
    <w:p w:rsidR="00A23057" w:rsidRPr="001B7087" w:rsidRDefault="00A23057" w:rsidP="00A23057">
      <w:pPr>
        <w:pStyle w:val="Zv-bodyreport"/>
        <w:rPr>
          <w:lang w:val="en-US"/>
        </w:rPr>
      </w:pPr>
      <w:bookmarkStart w:id="1" w:name="_tyjcwt"/>
      <w:bookmarkEnd w:id="1"/>
      <w:r>
        <w:rPr>
          <w:lang w:val="en-US"/>
        </w:rPr>
        <w:t>The research was financially supported by RSF research project №17-72-20076.</w:t>
      </w:r>
      <w:r w:rsidRPr="001B7087">
        <w:rPr>
          <w:lang w:val="en-US"/>
        </w:rPr>
        <w:t xml:space="preserve"> The experiments were carried out at the Unique Scientific Facility "Spherical Tokamak Globus-M", which is incorporated in the Federal Target Program "Materials Science and Diagnostics in Advanced Technologies" (unique project identifier RFMEFI62119X0021). </w:t>
      </w:r>
    </w:p>
    <w:p w:rsidR="00654A7B" w:rsidRDefault="00654A7B" w:rsidP="00A23057">
      <w:pPr>
        <w:pStyle w:val="Zv-bodyreport"/>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317" w:rsidRDefault="00051317">
      <w:r>
        <w:separator/>
      </w:r>
    </w:p>
  </w:endnote>
  <w:endnote w:type="continuationSeparator" w:id="0">
    <w:p w:rsidR="00051317" w:rsidRDefault="00051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7187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7187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51FB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317" w:rsidRDefault="00051317">
      <w:r>
        <w:separator/>
      </w:r>
    </w:p>
  </w:footnote>
  <w:footnote w:type="continuationSeparator" w:id="0">
    <w:p w:rsidR="00051317" w:rsidRDefault="00051317">
      <w:r>
        <w:continuationSeparator/>
      </w:r>
    </w:p>
  </w:footnote>
  <w:footnote w:id="1">
    <w:p w:rsidR="00651FB2" w:rsidRPr="00651FB2" w:rsidRDefault="00651FB2">
      <w:pPr>
        <w:pStyle w:val="a9"/>
        <w:rPr>
          <w:sz w:val="22"/>
          <w:szCs w:val="22"/>
          <w:lang w:val="en-US"/>
        </w:rPr>
      </w:pPr>
      <w:r w:rsidRPr="00651FB2">
        <w:rPr>
          <w:rStyle w:val="ab"/>
          <w:sz w:val="22"/>
          <w:szCs w:val="22"/>
          <w:lang w:val="en-US"/>
        </w:rPr>
        <w:t>*)</w:t>
      </w:r>
      <w:r w:rsidRPr="00651FB2">
        <w:rPr>
          <w:sz w:val="22"/>
          <w:szCs w:val="22"/>
          <w:lang w:val="en-US"/>
        </w:rPr>
        <w:t xml:space="preserve">  </w:t>
      </w:r>
      <w:hyperlink r:id="rId1" w:history="1">
        <w:r w:rsidRPr="00651FB2">
          <w:rPr>
            <w:rStyle w:val="ac"/>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07187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51317"/>
    <w:rsid w:val="00043701"/>
    <w:rsid w:val="00051317"/>
    <w:rsid w:val="00071876"/>
    <w:rsid w:val="000C657D"/>
    <w:rsid w:val="000C7078"/>
    <w:rsid w:val="000D76E9"/>
    <w:rsid w:val="000E495B"/>
    <w:rsid w:val="001C0CCB"/>
    <w:rsid w:val="00205708"/>
    <w:rsid w:val="00220629"/>
    <w:rsid w:val="0023083F"/>
    <w:rsid w:val="00247225"/>
    <w:rsid w:val="002B692C"/>
    <w:rsid w:val="0036134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1FB2"/>
    <w:rsid w:val="00654A7B"/>
    <w:rsid w:val="006B5B24"/>
    <w:rsid w:val="00732A2E"/>
    <w:rsid w:val="007B09C9"/>
    <w:rsid w:val="007B6378"/>
    <w:rsid w:val="007E06CE"/>
    <w:rsid w:val="00802D35"/>
    <w:rsid w:val="008306AF"/>
    <w:rsid w:val="008520F9"/>
    <w:rsid w:val="008850EF"/>
    <w:rsid w:val="00906FF7"/>
    <w:rsid w:val="00A23057"/>
    <w:rsid w:val="00AE6185"/>
    <w:rsid w:val="00B41EB2"/>
    <w:rsid w:val="00B622ED"/>
    <w:rsid w:val="00B9584E"/>
    <w:rsid w:val="00C103CD"/>
    <w:rsid w:val="00C232A0"/>
    <w:rsid w:val="00C5751F"/>
    <w:rsid w:val="00C908C6"/>
    <w:rsid w:val="00D47F19"/>
    <w:rsid w:val="00D900FB"/>
    <w:rsid w:val="00D92E54"/>
    <w:rsid w:val="00DB654E"/>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05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E-mail">
    <w:name w:val="E-mail"/>
    <w:qFormat/>
    <w:rsid w:val="00A23057"/>
    <w:pPr>
      <w:spacing w:after="240"/>
      <w:ind w:left="1418"/>
    </w:pPr>
    <w:rPr>
      <w:rFonts w:ascii="Times" w:hAnsi="Times" w:cs="Arial"/>
      <w:color w:val="00000A"/>
      <w:sz w:val="22"/>
      <w:szCs w:val="22"/>
      <w:lang w:val="en-US" w:eastAsia="en-US"/>
    </w:rPr>
  </w:style>
  <w:style w:type="paragraph" w:styleId="a7">
    <w:name w:val="Balloon Text"/>
    <w:basedOn w:val="a"/>
    <w:link w:val="a8"/>
    <w:rsid w:val="00A23057"/>
    <w:rPr>
      <w:rFonts w:ascii="Tahoma" w:hAnsi="Tahoma" w:cs="Tahoma"/>
      <w:sz w:val="16"/>
      <w:szCs w:val="16"/>
    </w:rPr>
  </w:style>
  <w:style w:type="character" w:customStyle="1" w:styleId="a8">
    <w:name w:val="Текст выноски Знак"/>
    <w:basedOn w:val="a0"/>
    <w:link w:val="a7"/>
    <w:rsid w:val="00A23057"/>
    <w:rPr>
      <w:rFonts w:ascii="Tahoma" w:hAnsi="Tahoma" w:cs="Tahoma"/>
      <w:sz w:val="16"/>
      <w:szCs w:val="16"/>
    </w:rPr>
  </w:style>
  <w:style w:type="paragraph" w:styleId="a9">
    <w:name w:val="footnote text"/>
    <w:basedOn w:val="a"/>
    <w:link w:val="aa"/>
    <w:rsid w:val="00651FB2"/>
    <w:rPr>
      <w:sz w:val="20"/>
      <w:szCs w:val="20"/>
    </w:rPr>
  </w:style>
  <w:style w:type="character" w:customStyle="1" w:styleId="aa">
    <w:name w:val="Текст сноски Знак"/>
    <w:basedOn w:val="a0"/>
    <w:link w:val="a9"/>
    <w:rsid w:val="00651FB2"/>
  </w:style>
  <w:style w:type="character" w:styleId="ab">
    <w:name w:val="footnote reference"/>
    <w:basedOn w:val="a0"/>
    <w:rsid w:val="00651FB2"/>
    <w:rPr>
      <w:vertAlign w:val="superscript"/>
    </w:rPr>
  </w:style>
  <w:style w:type="character" w:styleId="ac">
    <w:name w:val="Hyperlink"/>
    <w:basedOn w:val="a0"/>
    <w:rsid w:val="00651F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R/ru/LH-Kurski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CD2F4-86F0-4F6D-BAAE-73330BD8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13</TotalTime>
  <Pages>1</Pages>
  <Words>365</Words>
  <Characters>2233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THERMAL ENERGY CONFINEMENT AT THE GLOBUS-M/M2 SPHERICAL TOKAMAKS</dc:title>
  <dc:creator>sato</dc:creator>
  <cp:lastModifiedBy>Сатунин</cp:lastModifiedBy>
  <cp:revision>4</cp:revision>
  <cp:lastPrinted>1601-01-01T00:00:00Z</cp:lastPrinted>
  <dcterms:created xsi:type="dcterms:W3CDTF">2020-02-10T12:29:00Z</dcterms:created>
  <dcterms:modified xsi:type="dcterms:W3CDTF">2020-04-16T10:58:00Z</dcterms:modified>
</cp:coreProperties>
</file>