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66" w:rsidRPr="003A4F79" w:rsidRDefault="00544C45" w:rsidP="00325DBE">
      <w:pPr>
        <w:pStyle w:val="Zv-Titlereport"/>
        <w:ind w:left="1134" w:right="1133"/>
        <w:outlineLvl w:val="9"/>
      </w:pPr>
      <w:r w:rsidRPr="00544C45">
        <w:rPr>
          <w:noProof/>
          <w:color w:val="000000"/>
          <w:lang w:eastAsia="en-GB"/>
        </w:rPr>
        <w:pict>
          <v:shapetype id="_x0000_t202" coordsize="21600,21600" o:spt="202" path="m,l,21600r21600,l21600,xe">
            <v:stroke joinstyle="miter"/>
            <v:path gradientshapeok="t" o:connecttype="rect"/>
          </v:shapetype>
          <v:shape id="_x0000_s1026" type="#_x0000_t202" style="position:absolute;left:0;text-align:left;margin-left:-5.85pt;margin-top:-21.25pt;width:187.6pt;height:20.6pt;z-index:251660288;mso-height-percent:200;mso-position-vertical:absolute;mso-height-percent:200;mso-width-relative:margin;mso-height-relative:margin" stroked="f">
            <v:textbox style="mso-next-textbox:#_x0000_s1026;mso-fit-shape-to-text:t">
              <w:txbxContent>
                <w:p w:rsidR="00FB7CF0" w:rsidRPr="00906872" w:rsidRDefault="00FB7CF0">
                  <w:pPr>
                    <w:rPr>
                      <w:sz w:val="22"/>
                      <w:szCs w:val="22"/>
                      <w:lang w:val="ru-RU"/>
                    </w:rPr>
                  </w:pPr>
                  <w:r w:rsidRPr="00906872">
                    <w:rPr>
                      <w:sz w:val="22"/>
                      <w:szCs w:val="22"/>
                      <w:lang w:val="ru-RU"/>
                    </w:rPr>
                    <w:t>DOI: 10.34854/ICPAF.2020.47.1.003</w:t>
                  </w:r>
                </w:p>
              </w:txbxContent>
            </v:textbox>
            <w10:anchorlock/>
          </v:shape>
        </w:pict>
      </w:r>
      <w:r w:rsidR="005F2066" w:rsidRPr="009B56C1">
        <w:t>Latest results from fusion research in Europe and plans for the future</w:t>
      </w:r>
      <w:r w:rsidR="00101A27">
        <w:t xml:space="preserve"> </w:t>
      </w:r>
      <w:r w:rsidR="00FB7CF0">
        <w:rPr>
          <w:rStyle w:val="af4"/>
        </w:rPr>
        <w:endnoteReference w:customMarkFollows="1" w:id="1"/>
        <w:t>*)</w:t>
      </w:r>
    </w:p>
    <w:p w:rsidR="005F2066" w:rsidRPr="00906872" w:rsidRDefault="005F2066" w:rsidP="005F2066">
      <w:pPr>
        <w:pStyle w:val="Zv-Author"/>
        <w:rPr>
          <w:b/>
        </w:rPr>
      </w:pPr>
      <w:r>
        <w:t>Ongena</w:t>
      </w:r>
      <w:r w:rsidRPr="0045673D">
        <w:t xml:space="preserve"> </w:t>
      </w:r>
      <w:r>
        <w:t>J</w:t>
      </w:r>
      <w:r w:rsidRPr="0045673D">
        <w:t>.</w:t>
      </w:r>
    </w:p>
    <w:p w:rsidR="005F2066" w:rsidRPr="00906872" w:rsidRDefault="005F2066" w:rsidP="006917A1">
      <w:pPr>
        <w:pStyle w:val="Zv-Organization"/>
        <w:spacing w:before="60" w:after="180"/>
        <w:ind w:left="2268"/>
        <w:rPr>
          <w:b/>
          <w:bCs/>
        </w:rPr>
      </w:pPr>
      <w:r>
        <w:t>LPP</w:t>
      </w:r>
      <w:r w:rsidRPr="00573E0F">
        <w:t xml:space="preserve">, </w:t>
      </w:r>
      <w:r>
        <w:t>Royal</w:t>
      </w:r>
      <w:r w:rsidRPr="00573E0F">
        <w:t xml:space="preserve"> </w:t>
      </w:r>
      <w:r>
        <w:t>Military</w:t>
      </w:r>
      <w:r w:rsidRPr="00573E0F">
        <w:t xml:space="preserve"> </w:t>
      </w:r>
      <w:r>
        <w:t>Academy</w:t>
      </w:r>
      <w:r w:rsidRPr="00573E0F">
        <w:t xml:space="preserve">, </w:t>
      </w:r>
      <w:r>
        <w:t>Brussels</w:t>
      </w:r>
      <w:r w:rsidRPr="00573E0F">
        <w:t xml:space="preserve">, </w:t>
      </w:r>
      <w:r>
        <w:t>Belgium</w:t>
      </w:r>
    </w:p>
    <w:p w:rsidR="005F2066" w:rsidRPr="007F243F" w:rsidRDefault="005F2066" w:rsidP="00325DBE">
      <w:pPr>
        <w:pStyle w:val="Zv-bodyreport"/>
        <w:spacing w:line="216" w:lineRule="auto"/>
        <w:rPr>
          <w:lang w:val="en-GB"/>
        </w:rPr>
      </w:pPr>
      <w:r w:rsidRPr="00D1070B">
        <w:t>EUROfusion is planning DT experimental campaigns in 2020 on JET with the ITER-Like Wall (DTE2) to address key physics and technological issues for the DT experiments in ITER. This paper will review the key elements developed for DTE2 preparation, which includes DT operation scenario and the fusion power predi</w:t>
      </w:r>
      <w:r>
        <w:t>cted with first-principle model</w:t>
      </w:r>
      <w:r w:rsidRPr="00D1070B">
        <w:t xml:space="preserve">ing, isotope effect studies, and technological hardware improvements for DT plasma operation. To achieve the scientific objectives in DTE2, JET operation should demonstrate 15MW of fusion power for 5 seconds stationary state, a performance never attempted before in fusion-research history. For optimized operation in DTE2, the isotope effects and DT scenarios </w:t>
      </w:r>
      <w:r>
        <w:t>have</w:t>
      </w:r>
      <w:r w:rsidRPr="00D1070B">
        <w:t xml:space="preserve"> be</w:t>
      </w:r>
      <w:r>
        <w:t>en</w:t>
      </w:r>
      <w:r w:rsidRPr="00D1070B">
        <w:t xml:space="preserve"> further exploited in the DD and TT campaigns for 2019~2020. This paper will also introduce </w:t>
      </w:r>
      <w:r>
        <w:t xml:space="preserve">the </w:t>
      </w:r>
      <w:r w:rsidRPr="00D1070B">
        <w:t>JET programme for Shattered Pellet Injector test, which is ITER’s main strategy to mitigate disruption and runaway electrons</w:t>
      </w:r>
      <w:r>
        <w:t>.</w:t>
      </w:r>
      <w:r w:rsidRPr="0008714A">
        <w:rPr>
          <w:lang w:val="en-GB"/>
        </w:rPr>
        <w:t xml:space="preserve"> </w:t>
      </w:r>
      <w:r w:rsidRPr="007F243F">
        <w:rPr>
          <w:lang w:val="en-GB"/>
        </w:rPr>
        <w:t>Two complementary integrated scenarios are being developed to aim at high sustained DT fusion performance with fusion power P</w:t>
      </w:r>
      <w:r w:rsidRPr="007F243F">
        <w:rPr>
          <w:vertAlign w:val="subscript"/>
          <w:lang w:val="en-GB"/>
        </w:rPr>
        <w:t>fu</w:t>
      </w:r>
      <w:r w:rsidRPr="007F243F">
        <w:rPr>
          <w:lang w:val="en-GB"/>
        </w:rPr>
        <w:t>s=15 MW for 5 seconds. They both rely on H-mode confinement at high input power but differ in the plasma parameter space they explore. The baseline scenario (normalised beta β</w:t>
      </w:r>
      <w:r w:rsidRPr="007F243F">
        <w:rPr>
          <w:vertAlign w:val="subscript"/>
          <w:lang w:val="en-GB"/>
        </w:rPr>
        <w:t>N</w:t>
      </w:r>
      <w:r w:rsidRPr="007F243F">
        <w:rPr>
          <w:lang w:val="en-GB"/>
        </w:rPr>
        <w:t>~1.8 and normalised confinement factor H</w:t>
      </w:r>
      <w:r w:rsidRPr="007F243F">
        <w:rPr>
          <w:vertAlign w:val="subscript"/>
          <w:lang w:val="en-GB"/>
        </w:rPr>
        <w:t>98</w:t>
      </w:r>
      <w:r w:rsidRPr="007F243F">
        <w:rPr>
          <w:lang w:val="en-GB"/>
        </w:rPr>
        <w:t xml:space="preserve">~1.0) concentrates mainly on achieving high confinement and fusion reactivity by pushing the operation towards high plasma current with a relaxed current profile. </w:t>
      </w:r>
      <w:r>
        <w:rPr>
          <w:lang w:val="en-GB"/>
        </w:rPr>
        <w:t>H</w:t>
      </w:r>
      <w:r w:rsidRPr="007F243F">
        <w:rPr>
          <w:lang w:val="en-GB"/>
        </w:rPr>
        <w:t>ybrid scenario</w:t>
      </w:r>
      <w:r>
        <w:rPr>
          <w:lang w:val="en-GB"/>
        </w:rPr>
        <w:t>s</w:t>
      </w:r>
      <w:r w:rsidRPr="007F243F">
        <w:rPr>
          <w:lang w:val="en-GB"/>
        </w:rPr>
        <w:t xml:space="preserve"> (β</w:t>
      </w:r>
      <w:r w:rsidRPr="007F243F">
        <w:rPr>
          <w:vertAlign w:val="subscript"/>
          <w:lang w:val="en-GB"/>
        </w:rPr>
        <w:t>N</w:t>
      </w:r>
      <w:r w:rsidRPr="007F243F">
        <w:rPr>
          <w:lang w:val="en-GB"/>
        </w:rPr>
        <w:t>~2-3 and H</w:t>
      </w:r>
      <w:r w:rsidRPr="007F243F">
        <w:rPr>
          <w:vertAlign w:val="subscript"/>
          <w:lang w:val="en-GB"/>
        </w:rPr>
        <w:t>98</w:t>
      </w:r>
      <w:r w:rsidRPr="007F243F">
        <w:rPr>
          <w:lang w:val="en-GB"/>
        </w:rPr>
        <w:t>&gt;1.0) exploits the advantages of operating at higher normalised beta with a shaped current profile such that the safety factor q (the number of toroidal circuits made by a magnetic field line in one poloidal circuit) in the plasma core is above or close to unity. Encouraging results, very similar in the two scenarios in terms of extrapolated DT fusion power, were achieved in previous JET DD campaigns.</w:t>
      </w:r>
    </w:p>
    <w:p w:rsidR="005F2066" w:rsidRDefault="005F2066" w:rsidP="00325DBE">
      <w:pPr>
        <w:pStyle w:val="Zv-bodyreport"/>
        <w:spacing w:line="216" w:lineRule="auto"/>
        <w:rPr>
          <w:lang w:val="en-GB"/>
        </w:rPr>
      </w:pPr>
      <w:bookmarkStart w:id="0" w:name="_GoBack"/>
      <w:bookmarkEnd w:id="0"/>
      <w:r w:rsidRPr="007F243F">
        <w:rPr>
          <w:lang w:val="en-GB"/>
        </w:rPr>
        <w:t>A different plasma scenario has been developed with q</w:t>
      </w:r>
      <w:r w:rsidRPr="007F243F">
        <w:rPr>
          <w:vertAlign w:val="subscript"/>
          <w:lang w:val="en-GB"/>
        </w:rPr>
        <w:t>min</w:t>
      </w:r>
      <w:r w:rsidRPr="007F243F">
        <w:rPr>
          <w:lang w:val="en-GB"/>
        </w:rPr>
        <w:t xml:space="preserve">~2, for fusion alpha-particle studies, relying on short, 1-2 seconds, burst of high fusion performance. Extrapolation from the results obtained so far in DD confirm the potential to observe alpha-particle effects, such as induced TAE activity in the after-burn phase after the additional heating is switched off. </w:t>
      </w:r>
      <w:r>
        <w:rPr>
          <w:lang w:val="en-GB"/>
        </w:rPr>
        <w:t>The new 3-ion ICRH scenario has been further explored in JET and has led to a set of new and interesting results using the D-(D</w:t>
      </w:r>
      <w:r>
        <w:rPr>
          <w:vertAlign w:val="subscript"/>
          <w:lang w:val="en-GB"/>
        </w:rPr>
        <w:t>NBI</w:t>
      </w:r>
      <w:r>
        <w:rPr>
          <w:lang w:val="en-GB"/>
        </w:rPr>
        <w:t>)-</w:t>
      </w:r>
      <w:r>
        <w:rPr>
          <w:vertAlign w:val="superscript"/>
          <w:lang w:val="en-GB"/>
        </w:rPr>
        <w:t>3</w:t>
      </w:r>
      <w:r>
        <w:rPr>
          <w:lang w:val="en-GB"/>
        </w:rPr>
        <w:t>He scenario to further accelerate 120 keV D</w:t>
      </w:r>
      <w:r>
        <w:rPr>
          <w:vertAlign w:val="subscript"/>
          <w:lang w:val="en-GB"/>
        </w:rPr>
        <w:t>NBI</w:t>
      </w:r>
      <w:r>
        <w:rPr>
          <w:lang w:val="en-GB"/>
        </w:rPr>
        <w:t xml:space="preserve"> particles to MeV range energies. </w:t>
      </w:r>
      <w:r w:rsidRPr="00F32FD5">
        <w:rPr>
          <w:lang w:val="en-GB"/>
        </w:rPr>
        <w:t xml:space="preserve"> </w:t>
      </w:r>
    </w:p>
    <w:p w:rsidR="005F2066" w:rsidRPr="0003535C" w:rsidRDefault="005F2066" w:rsidP="00325DBE">
      <w:pPr>
        <w:pStyle w:val="Zv-bodyreport"/>
        <w:spacing w:line="216" w:lineRule="auto"/>
        <w:rPr>
          <w:color w:val="000000"/>
          <w:lang w:eastAsia="en-GB"/>
        </w:rPr>
      </w:pPr>
      <w:r>
        <w:rPr>
          <w:color w:val="000000"/>
          <w:lang w:eastAsia="en-GB"/>
        </w:rPr>
        <w:t xml:space="preserve">A summary will be given on the results of the last experimental campaigns of </w:t>
      </w:r>
      <w:r w:rsidRPr="00F32FD5">
        <w:rPr>
          <w:color w:val="000000"/>
          <w:lang w:eastAsia="en-GB"/>
        </w:rPr>
        <w:t xml:space="preserve">Wendelstein 7-X the </w:t>
      </w:r>
      <w:r>
        <w:rPr>
          <w:color w:val="000000"/>
          <w:lang w:eastAsia="en-GB"/>
        </w:rPr>
        <w:t>largest</w:t>
      </w:r>
      <w:r w:rsidRPr="00F32FD5">
        <w:rPr>
          <w:color w:val="000000"/>
          <w:lang w:eastAsia="en-GB"/>
        </w:rPr>
        <w:t xml:space="preserve"> stellarator </w:t>
      </w:r>
      <w:r>
        <w:rPr>
          <w:color w:val="000000"/>
          <w:lang w:eastAsia="en-GB"/>
        </w:rPr>
        <w:t>in</w:t>
      </w:r>
      <w:r w:rsidRPr="00F32FD5">
        <w:rPr>
          <w:color w:val="000000"/>
          <w:lang w:eastAsia="en-GB"/>
        </w:rPr>
        <w:t xml:space="preserve"> operation </w:t>
      </w:r>
      <w:r>
        <w:rPr>
          <w:color w:val="000000"/>
          <w:lang w:eastAsia="en-GB"/>
        </w:rPr>
        <w:t xml:space="preserve">in the world, </w:t>
      </w:r>
      <w:r w:rsidRPr="00F32FD5">
        <w:rPr>
          <w:color w:val="000000"/>
          <w:lang w:eastAsia="en-GB"/>
        </w:rPr>
        <w:t xml:space="preserve">optimized to demonstrate good energy </w:t>
      </w:r>
      <w:r>
        <w:rPr>
          <w:color w:val="000000"/>
          <w:lang w:eastAsia="en-GB"/>
        </w:rPr>
        <w:t xml:space="preserve">and fast particle </w:t>
      </w:r>
      <w:r w:rsidRPr="00F32FD5">
        <w:rPr>
          <w:color w:val="000000"/>
          <w:lang w:eastAsia="en-GB"/>
        </w:rPr>
        <w:t>confinement at Te=Ti~ 6 keV, n&gt;1</w:t>
      </w:r>
      <w:r>
        <w:rPr>
          <w:color w:val="000000"/>
          <w:lang w:eastAsia="en-GB"/>
        </w:rPr>
        <w:t>0</w:t>
      </w:r>
      <w:r>
        <w:rPr>
          <w:color w:val="000000"/>
          <w:vertAlign w:val="superscript"/>
          <w:lang w:eastAsia="en-GB"/>
        </w:rPr>
        <w:t>20</w:t>
      </w:r>
      <w:r w:rsidRPr="00F32FD5">
        <w:rPr>
          <w:color w:val="000000"/>
          <w:position w:val="8"/>
          <w:lang w:eastAsia="en-GB"/>
        </w:rPr>
        <w:t xml:space="preserve"> </w:t>
      </w:r>
      <w:r>
        <w:rPr>
          <w:color w:val="000000"/>
          <w:lang w:eastAsia="en-GB"/>
        </w:rPr>
        <w:t>m</w:t>
      </w:r>
      <w:r>
        <w:rPr>
          <w:color w:val="000000"/>
          <w:vertAlign w:val="superscript"/>
          <w:lang w:eastAsia="en-GB"/>
        </w:rPr>
        <w:t>-3</w:t>
      </w:r>
      <w:r w:rsidRPr="00F32FD5">
        <w:rPr>
          <w:color w:val="000000"/>
          <w:lang w:eastAsia="en-GB"/>
        </w:rPr>
        <w:t xml:space="preserve">, and a volume averaged </w:t>
      </w:r>
      <w:r>
        <w:rPr>
          <w:color w:val="000000"/>
          <w:lang w:val="el-GR" w:eastAsia="en-GB"/>
        </w:rPr>
        <w:t xml:space="preserve">β </w:t>
      </w:r>
      <w:r>
        <w:rPr>
          <w:color w:val="000000"/>
          <w:lang w:eastAsia="en-GB"/>
        </w:rPr>
        <w:t xml:space="preserve">~ </w:t>
      </w:r>
      <w:r w:rsidRPr="00F32FD5">
        <w:rPr>
          <w:color w:val="000000"/>
          <w:lang w:eastAsia="en-GB"/>
        </w:rPr>
        <w:t xml:space="preserve">5 %. Stable </w:t>
      </w:r>
      <w:r>
        <w:rPr>
          <w:color w:val="000000"/>
          <w:lang w:eastAsia="en-GB"/>
        </w:rPr>
        <w:t xml:space="preserve">ECRH </w:t>
      </w:r>
      <w:r w:rsidRPr="00F32FD5">
        <w:rPr>
          <w:color w:val="000000"/>
          <w:lang w:eastAsia="en-GB"/>
        </w:rPr>
        <w:t xml:space="preserve">operation </w:t>
      </w:r>
      <w:r>
        <w:rPr>
          <w:color w:val="000000"/>
          <w:lang w:eastAsia="en-GB"/>
        </w:rPr>
        <w:t>at high density was achieved with</w:t>
      </w:r>
      <w:r w:rsidRPr="00F32FD5">
        <w:rPr>
          <w:color w:val="000000"/>
          <w:lang w:eastAsia="en-GB"/>
        </w:rPr>
        <w:t xml:space="preserve"> 2</w:t>
      </w:r>
      <w:r>
        <w:rPr>
          <w:color w:val="000000"/>
          <w:vertAlign w:val="superscript"/>
          <w:lang w:eastAsia="en-GB"/>
        </w:rPr>
        <w:t>nd</w:t>
      </w:r>
      <w:r>
        <w:rPr>
          <w:color w:val="000000"/>
          <w:position w:val="8"/>
          <w:lang w:eastAsia="en-GB"/>
        </w:rPr>
        <w:t xml:space="preserve"> </w:t>
      </w:r>
      <w:r w:rsidRPr="00F32FD5">
        <w:rPr>
          <w:color w:val="000000"/>
          <w:lang w:eastAsia="en-GB"/>
        </w:rPr>
        <w:t xml:space="preserve">harmonic ECRH X-mode, which </w:t>
      </w:r>
      <w:r>
        <w:rPr>
          <w:color w:val="000000"/>
          <w:lang w:eastAsia="en-GB"/>
        </w:rPr>
        <w:t xml:space="preserve">is a necessary </w:t>
      </w:r>
      <w:r w:rsidRPr="0003535C">
        <w:rPr>
          <w:color w:val="000000"/>
          <w:lang w:eastAsia="en-GB"/>
        </w:rPr>
        <w:t xml:space="preserve">condition to realise high plasma densities in Wendelstein 7-X. </w:t>
      </w:r>
      <w:r>
        <w:rPr>
          <w:color w:val="000000"/>
          <w:lang w:eastAsia="en-GB"/>
        </w:rPr>
        <w:t>D</w:t>
      </w:r>
      <w:r w:rsidRPr="00D1070B">
        <w:rPr>
          <w:color w:val="000000"/>
          <w:lang w:eastAsia="en-GB"/>
        </w:rPr>
        <w:t xml:space="preserve">ivertor detachment can be realized at sufficiently high densities, and, thus, the integrated operation with high power output and tolerable exhaust seems possi- ble. Three scenarios in </w:t>
      </w:r>
      <w:r>
        <w:rPr>
          <w:color w:val="000000"/>
          <w:lang w:eastAsia="en-GB"/>
        </w:rPr>
        <w:t xml:space="preserve">the density range 8 </w:t>
      </w:r>
      <w:r w:rsidRPr="00D1070B">
        <w:rPr>
          <w:color w:val="000000"/>
          <w:lang w:eastAsia="en-GB"/>
        </w:rPr>
        <w:t>10</w:t>
      </w:r>
      <w:r>
        <w:rPr>
          <w:color w:val="000000"/>
          <w:vertAlign w:val="superscript"/>
          <w:lang w:eastAsia="en-GB"/>
        </w:rPr>
        <w:t>19</w:t>
      </w:r>
      <w:r>
        <w:rPr>
          <w:color w:val="000000"/>
          <w:lang w:eastAsia="en-GB"/>
        </w:rPr>
        <w:t xml:space="preserve"> - 2 </w:t>
      </w:r>
      <w:r w:rsidRPr="00D1070B">
        <w:rPr>
          <w:color w:val="000000"/>
          <w:lang w:eastAsia="en-GB"/>
        </w:rPr>
        <w:t>10</w:t>
      </w:r>
      <w:r w:rsidRPr="00D1070B">
        <w:rPr>
          <w:color w:val="000000"/>
          <w:vertAlign w:val="superscript"/>
          <w:lang w:eastAsia="en-GB"/>
        </w:rPr>
        <w:t>20</w:t>
      </w:r>
      <w:r w:rsidRPr="00D1070B">
        <w:rPr>
          <w:color w:val="000000"/>
          <w:lang w:eastAsia="en-GB"/>
        </w:rPr>
        <w:t xml:space="preserve"> m</w:t>
      </w:r>
      <w:r w:rsidRPr="00D1070B">
        <w:rPr>
          <w:color w:val="000000"/>
          <w:vertAlign w:val="superscript"/>
          <w:lang w:eastAsia="en-GB"/>
        </w:rPr>
        <w:t>−3</w:t>
      </w:r>
      <w:r w:rsidRPr="00D1070B">
        <w:rPr>
          <w:color w:val="000000"/>
          <w:lang w:eastAsia="en-GB"/>
        </w:rPr>
        <w:t xml:space="preserve"> are compared: ECRH heated plasmas with edge gas fuelling, predominantly NBI heated plasmas and discharges with central pellet fuelling. Gas fuelled discharges with ECRH heating are characterized by flat density profiles, ion temperatures below about 2 keV and the energy confinement time close to </w:t>
      </w:r>
      <w:r>
        <w:rPr>
          <w:color w:val="000000"/>
          <w:lang w:eastAsia="en-GB"/>
        </w:rPr>
        <w:t xml:space="preserve">(but mostly lower than) </w:t>
      </w:r>
      <w:r w:rsidRPr="00D1070B">
        <w:rPr>
          <w:color w:val="000000"/>
          <w:lang w:eastAsia="en-GB"/>
        </w:rPr>
        <w:t xml:space="preserve">the ISS04 scaling </w:t>
      </w:r>
      <w:r>
        <w:rPr>
          <w:color w:val="000000"/>
          <w:lang w:eastAsia="en-GB"/>
        </w:rPr>
        <w:t>due to</w:t>
      </w:r>
      <w:r w:rsidRPr="00D1070B">
        <w:rPr>
          <w:color w:val="000000"/>
          <w:lang w:eastAsia="en-GB"/>
        </w:rPr>
        <w:t xml:space="preserve"> a s</w:t>
      </w:r>
      <w:r>
        <w:rPr>
          <w:color w:val="000000"/>
          <w:lang w:eastAsia="en-GB"/>
        </w:rPr>
        <w:t xml:space="preserve">ignificant turbulence fraction. This turbulence is generated by ITG modes when using large amounts of ECRH only as heating system and has limited the ion temperatures reached. This can be solved using NBI or pellet injection, leading to a stabilization of the ITG Modes. </w:t>
      </w:r>
      <w:r w:rsidRPr="00D1070B">
        <w:rPr>
          <w:color w:val="000000"/>
          <w:lang w:eastAsia="en-GB"/>
        </w:rPr>
        <w:t>NBI heated plasmas exhibit a pronounced density peaking and a particle barrier at the half radius. In p</w:t>
      </w:r>
      <w:r>
        <w:rPr>
          <w:color w:val="000000"/>
          <w:lang w:eastAsia="en-GB"/>
        </w:rPr>
        <w:t>ellet fuelled discharges, tran</w:t>
      </w:r>
      <w:r w:rsidRPr="00D1070B">
        <w:rPr>
          <w:color w:val="000000"/>
          <w:lang w:eastAsia="en-GB"/>
        </w:rPr>
        <w:t>sient phases with the improved energy confinement, ion te</w:t>
      </w:r>
      <w:r>
        <w:rPr>
          <w:color w:val="000000"/>
          <w:lang w:eastAsia="en-GB"/>
        </w:rPr>
        <w:t>mperatures as high as 3.5 keV.</w:t>
      </w:r>
      <w:r w:rsidRPr="00D1070B">
        <w:rPr>
          <w:color w:val="000000"/>
          <w:lang w:eastAsia="en-GB"/>
        </w:rPr>
        <w:t xml:space="preserve"> </w:t>
      </w:r>
    </w:p>
    <w:p w:rsidR="005F2066" w:rsidRPr="007F243F" w:rsidRDefault="005F2066" w:rsidP="00325DBE">
      <w:pPr>
        <w:pStyle w:val="Zv-bodyreport"/>
        <w:spacing w:line="216" w:lineRule="auto"/>
        <w:rPr>
          <w:color w:val="000000"/>
          <w:lang w:eastAsia="en-GB"/>
        </w:rPr>
      </w:pPr>
      <w:r>
        <w:rPr>
          <w:color w:val="000000"/>
          <w:shd w:val="clear" w:color="auto" w:fill="FFFFFF"/>
          <w:lang w:val="en-GB"/>
        </w:rPr>
        <w:t xml:space="preserve">EUROfusion is setting out the plans for the next Framework </w:t>
      </w:r>
      <w:r>
        <w:rPr>
          <w:color w:val="000000"/>
          <w:lang w:eastAsia="en-GB"/>
        </w:rPr>
        <w:t>Programme, FP9. The focus will shift to the preparation of the experimental work on ITER (with foreseen start end 2025) and the preparative work for the design of DEMO. Plans consist to e</w:t>
      </w:r>
      <w:r w:rsidRPr="00D1070B">
        <w:rPr>
          <w:color w:val="000000"/>
          <w:lang w:eastAsia="en-GB"/>
        </w:rPr>
        <w:t xml:space="preserve">stablish a stronger central </w:t>
      </w:r>
      <w:r>
        <w:rPr>
          <w:color w:val="000000"/>
          <w:lang w:eastAsia="en-GB"/>
        </w:rPr>
        <w:t xml:space="preserve">DEMO </w:t>
      </w:r>
      <w:r w:rsidRPr="00D1070B">
        <w:rPr>
          <w:color w:val="000000"/>
          <w:lang w:eastAsia="en-GB"/>
        </w:rPr>
        <w:t>design team</w:t>
      </w:r>
      <w:r>
        <w:rPr>
          <w:color w:val="000000"/>
          <w:lang w:eastAsia="en-GB"/>
        </w:rPr>
        <w:t>, i</w:t>
      </w:r>
      <w:r w:rsidRPr="00D1070B">
        <w:rPr>
          <w:color w:val="000000"/>
          <w:lang w:eastAsia="en-GB"/>
        </w:rPr>
        <w:t>ncrease fun</w:t>
      </w:r>
      <w:r>
        <w:rPr>
          <w:color w:val="000000"/>
          <w:lang w:eastAsia="en-GB"/>
        </w:rPr>
        <w:t>ding for technology development, i</w:t>
      </w:r>
      <w:r w:rsidRPr="00D1070B">
        <w:rPr>
          <w:color w:val="000000"/>
          <w:lang w:eastAsia="en-GB"/>
        </w:rPr>
        <w:t>ntegrate DEMO physics with the ITER physics programme</w:t>
      </w:r>
      <w:r>
        <w:rPr>
          <w:color w:val="000000"/>
          <w:lang w:eastAsia="en-GB"/>
        </w:rPr>
        <w:t>, c</w:t>
      </w:r>
      <w:r w:rsidRPr="00D1070B">
        <w:rPr>
          <w:color w:val="000000"/>
          <w:lang w:eastAsia="en-GB"/>
        </w:rPr>
        <w:t>onsolida</w:t>
      </w:r>
      <w:r>
        <w:rPr>
          <w:color w:val="000000"/>
          <w:lang w:eastAsia="en-GB"/>
        </w:rPr>
        <w:t>te international collaborations</w:t>
      </w:r>
      <w:r w:rsidRPr="00D1070B">
        <w:rPr>
          <w:color w:val="000000"/>
          <w:lang w:eastAsia="en-GB"/>
        </w:rPr>
        <w:t>. A shift in culture is required to convert t</w:t>
      </w:r>
      <w:r>
        <w:rPr>
          <w:color w:val="000000"/>
          <w:lang w:eastAsia="en-GB"/>
        </w:rPr>
        <w:t xml:space="preserve">he traditional R&amp;D mind-set to </w:t>
      </w:r>
      <w:r w:rsidRPr="00D1070B">
        <w:rPr>
          <w:color w:val="000000"/>
          <w:lang w:eastAsia="en-GB"/>
        </w:rPr>
        <w:t>a project-oriented approach</w:t>
      </w:r>
      <w:r>
        <w:rPr>
          <w:color w:val="000000"/>
          <w:lang w:eastAsia="en-GB"/>
        </w:rPr>
        <w:t xml:space="preserve"> in Europe.</w:t>
      </w:r>
    </w:p>
    <w:sectPr w:rsidR="005F2066" w:rsidRPr="007F243F"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F0" w:rsidRDefault="00FB7CF0">
      <w:r>
        <w:separator/>
      </w:r>
    </w:p>
  </w:endnote>
  <w:endnote w:type="continuationSeparator" w:id="0">
    <w:p w:rsidR="00FB7CF0" w:rsidRDefault="00FB7CF0">
      <w:r>
        <w:continuationSeparator/>
      </w:r>
    </w:p>
  </w:endnote>
  <w:endnote w:id="1">
    <w:p w:rsidR="00FB7CF0" w:rsidRDefault="00FB7CF0">
      <w:pPr>
        <w:pStyle w:val="af2"/>
      </w:pPr>
      <w:r>
        <w:rPr>
          <w:rStyle w:val="af4"/>
        </w:rPr>
        <w:t>*)</w:t>
      </w:r>
      <w:r w:rsidR="00371ECF">
        <w:t xml:space="preserve"> </w:t>
      </w:r>
      <w:hyperlink r:id="rId1" w:history="1">
        <w:r w:rsidRPr="00A33D3C">
          <w:rPr>
            <w:rStyle w:val="ac"/>
            <w:sz w:val="22"/>
            <w:szCs w:val="22"/>
          </w:rPr>
          <w:t>abstracts of this report in Russian</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91" w:rsidRDefault="00544C45" w:rsidP="00654A7B">
    <w:pPr>
      <w:pStyle w:val="a4"/>
      <w:framePr w:wrap="around" w:vAnchor="text" w:hAnchor="margin" w:xAlign="center" w:y="1"/>
      <w:rPr>
        <w:rStyle w:val="a5"/>
      </w:rPr>
    </w:pPr>
    <w:r>
      <w:rPr>
        <w:rStyle w:val="a5"/>
      </w:rPr>
      <w:fldChar w:fldCharType="begin"/>
    </w:r>
    <w:r w:rsidR="00224C91">
      <w:rPr>
        <w:rStyle w:val="a5"/>
      </w:rPr>
      <w:instrText xml:space="preserve">PAGE  </w:instrText>
    </w:r>
    <w:r>
      <w:rPr>
        <w:rStyle w:val="a5"/>
      </w:rPr>
      <w:fldChar w:fldCharType="end"/>
    </w:r>
  </w:p>
  <w:p w:rsidR="00224C91" w:rsidRDefault="00224C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91" w:rsidRDefault="00544C45" w:rsidP="00654A7B">
    <w:pPr>
      <w:pStyle w:val="a4"/>
      <w:framePr w:wrap="around" w:vAnchor="text" w:hAnchor="margin" w:xAlign="center" w:y="1"/>
      <w:rPr>
        <w:rStyle w:val="a5"/>
      </w:rPr>
    </w:pPr>
    <w:r>
      <w:rPr>
        <w:rStyle w:val="a5"/>
      </w:rPr>
      <w:fldChar w:fldCharType="begin"/>
    </w:r>
    <w:r w:rsidR="00224C91">
      <w:rPr>
        <w:rStyle w:val="a5"/>
      </w:rPr>
      <w:instrText xml:space="preserve">PAGE  </w:instrText>
    </w:r>
    <w:r>
      <w:rPr>
        <w:rStyle w:val="a5"/>
      </w:rPr>
      <w:fldChar w:fldCharType="separate"/>
    </w:r>
    <w:r w:rsidR="00371ECF">
      <w:rPr>
        <w:rStyle w:val="a5"/>
        <w:noProof/>
      </w:rPr>
      <w:t>1</w:t>
    </w:r>
    <w:r>
      <w:rPr>
        <w:rStyle w:val="a5"/>
      </w:rPr>
      <w:fldChar w:fldCharType="end"/>
    </w:r>
  </w:p>
  <w:p w:rsidR="00224C91" w:rsidRDefault="00224C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BE" w:rsidRDefault="00325D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CF0" w:rsidRDefault="00FB7CF0">
      <w:r>
        <w:separator/>
      </w:r>
    </w:p>
  </w:footnote>
  <w:footnote w:type="continuationSeparator" w:id="0">
    <w:p w:rsidR="00FB7CF0" w:rsidRDefault="00FB7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BE" w:rsidRDefault="00325D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91" w:rsidRPr="00FE5AB7" w:rsidRDefault="00224C91">
    <w:pPr>
      <w:pStyle w:val="a3"/>
      <w:jc w:val="center"/>
      <w:rPr>
        <w:sz w:val="20"/>
      </w:rPr>
    </w:pPr>
    <w:r w:rsidRPr="00FE5AB7">
      <w:rPr>
        <w:sz w:val="20"/>
      </w:rPr>
      <w:t xml:space="preserve"> </w:t>
    </w:r>
    <w:r>
      <w:rPr>
        <w:sz w:val="20"/>
      </w:rPr>
      <w:t>47</w:t>
    </w:r>
    <w:r>
      <w:rPr>
        <w:sz w:val="20"/>
        <w:vertAlign w:val="superscript"/>
      </w:rPr>
      <w:t>th</w:t>
    </w:r>
    <w:r>
      <w:rPr>
        <w:sz w:val="20"/>
      </w:rPr>
      <w:t xml:space="preserve"> International Conference on Plasma Physics and CF, March  16 – 20, 2020, Zvenigorod</w:t>
    </w:r>
  </w:p>
  <w:p w:rsidR="00224C91" w:rsidRDefault="00544C45">
    <w:pPr>
      <w:pStyle w:val="a3"/>
      <w:jc w:val="center"/>
      <w:rPr>
        <w:sz w:val="20"/>
      </w:rPr>
    </w:pPr>
    <w:r w:rsidRPr="00544C45">
      <w:rPr>
        <w:noProof/>
        <w:sz w:val="20"/>
      </w:rPr>
      <w:pict>
        <v:line id="_x0000_s2055" style="position:absolute;left:0;text-align:left;flip:y;z-index:251657728" from="54pt,1.2pt" to="6in,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BE" w:rsidRDefault="00325D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525A1"/>
    <w:rsid w:val="00021D83"/>
    <w:rsid w:val="00043701"/>
    <w:rsid w:val="000C657D"/>
    <w:rsid w:val="000C7078"/>
    <w:rsid w:val="000D76E9"/>
    <w:rsid w:val="000E495B"/>
    <w:rsid w:val="00101A27"/>
    <w:rsid w:val="001C0CCB"/>
    <w:rsid w:val="001E5B95"/>
    <w:rsid w:val="00205708"/>
    <w:rsid w:val="00220629"/>
    <w:rsid w:val="00224C91"/>
    <w:rsid w:val="0023083F"/>
    <w:rsid w:val="00247225"/>
    <w:rsid w:val="00325DBE"/>
    <w:rsid w:val="00371ECF"/>
    <w:rsid w:val="003800F3"/>
    <w:rsid w:val="003A606B"/>
    <w:rsid w:val="003B5B93"/>
    <w:rsid w:val="003E0981"/>
    <w:rsid w:val="00401388"/>
    <w:rsid w:val="0043297E"/>
    <w:rsid w:val="00446025"/>
    <w:rsid w:val="00477EEE"/>
    <w:rsid w:val="004A77D1"/>
    <w:rsid w:val="004B72AA"/>
    <w:rsid w:val="004E79D7"/>
    <w:rsid w:val="004F4E29"/>
    <w:rsid w:val="005074E3"/>
    <w:rsid w:val="00544C45"/>
    <w:rsid w:val="00567C6F"/>
    <w:rsid w:val="00573BAD"/>
    <w:rsid w:val="0058676C"/>
    <w:rsid w:val="005F2066"/>
    <w:rsid w:val="005F764D"/>
    <w:rsid w:val="00654A7B"/>
    <w:rsid w:val="006917A1"/>
    <w:rsid w:val="006B5B24"/>
    <w:rsid w:val="00732A2E"/>
    <w:rsid w:val="0079216E"/>
    <w:rsid w:val="007B09C9"/>
    <w:rsid w:val="007B6378"/>
    <w:rsid w:val="007E06CE"/>
    <w:rsid w:val="00802D35"/>
    <w:rsid w:val="008306AF"/>
    <w:rsid w:val="008520F9"/>
    <w:rsid w:val="008525A1"/>
    <w:rsid w:val="008850EF"/>
    <w:rsid w:val="00906872"/>
    <w:rsid w:val="00906FF7"/>
    <w:rsid w:val="00934C61"/>
    <w:rsid w:val="00A33D3C"/>
    <w:rsid w:val="00AE6185"/>
    <w:rsid w:val="00B61916"/>
    <w:rsid w:val="00B622ED"/>
    <w:rsid w:val="00B769E5"/>
    <w:rsid w:val="00B9584E"/>
    <w:rsid w:val="00C103CD"/>
    <w:rsid w:val="00C232A0"/>
    <w:rsid w:val="00C5751F"/>
    <w:rsid w:val="00C708F7"/>
    <w:rsid w:val="00D47F19"/>
    <w:rsid w:val="00D900FB"/>
    <w:rsid w:val="00D92E54"/>
    <w:rsid w:val="00E118BE"/>
    <w:rsid w:val="00E7021A"/>
    <w:rsid w:val="00E87733"/>
    <w:rsid w:val="00EE371E"/>
    <w:rsid w:val="00EF07A9"/>
    <w:rsid w:val="00EF7297"/>
    <w:rsid w:val="00F722F5"/>
    <w:rsid w:val="00F74399"/>
    <w:rsid w:val="00F95123"/>
    <w:rsid w:val="00FB7CF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066"/>
    <w:rPr>
      <w:sz w:val="24"/>
      <w:lang w:val="en-US"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rPr>
  </w:style>
  <w:style w:type="paragraph" w:customStyle="1" w:styleId="Zv-Organization">
    <w:name w:val="Zv-Organization"/>
    <w:basedOn w:val="a"/>
    <w:next w:val="Zv-bodyreport"/>
    <w:rsid w:val="00F95123"/>
    <w:pPr>
      <w:tabs>
        <w:tab w:val="center" w:pos="4320"/>
      </w:tabs>
      <w:spacing w:before="120" w:after="240"/>
      <w:ind w:left="567"/>
    </w:pPr>
    <w:rPr>
      <w:i/>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style>
  <w:style w:type="paragraph" w:customStyle="1" w:styleId="1">
    <w:name w:val="Стиль1"/>
    <w:basedOn w:val="a3"/>
    <w:qFormat/>
    <w:rsid w:val="00401388"/>
    <w:pPr>
      <w:numPr>
        <w:numId w:val="5"/>
      </w:numPr>
      <w:tabs>
        <w:tab w:val="clear" w:pos="4677"/>
        <w:tab w:val="clear" w:pos="9355"/>
      </w:tabs>
      <w:spacing w:after="120"/>
      <w:ind w:left="426"/>
    </w:p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HTML">
    <w:name w:val="HTML Preformatted"/>
    <w:basedOn w:val="a"/>
    <w:link w:val="HTML0"/>
    <w:uiPriority w:val="99"/>
    <w:unhideWhenUsed/>
    <w:rsid w:val="005F2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lang w:val="en-GB"/>
    </w:rPr>
  </w:style>
  <w:style w:type="character" w:customStyle="1" w:styleId="HTML0">
    <w:name w:val="Стандартный HTML Знак"/>
    <w:basedOn w:val="a0"/>
    <w:link w:val="HTML"/>
    <w:uiPriority w:val="99"/>
    <w:rsid w:val="005F2066"/>
    <w:rPr>
      <w:rFonts w:ascii="Courier" w:hAnsi="Courier" w:cs="Courier"/>
      <w:lang w:val="en-GB" w:eastAsia="en-US"/>
    </w:rPr>
  </w:style>
  <w:style w:type="paragraph" w:styleId="a7">
    <w:name w:val="Balloon Text"/>
    <w:basedOn w:val="a"/>
    <w:link w:val="a8"/>
    <w:rsid w:val="00934C61"/>
    <w:rPr>
      <w:rFonts w:ascii="Tahoma" w:hAnsi="Tahoma" w:cs="Tahoma"/>
      <w:sz w:val="16"/>
      <w:szCs w:val="16"/>
    </w:rPr>
  </w:style>
  <w:style w:type="character" w:customStyle="1" w:styleId="a8">
    <w:name w:val="Текст выноски Знак"/>
    <w:basedOn w:val="a0"/>
    <w:link w:val="a7"/>
    <w:rsid w:val="00934C61"/>
    <w:rPr>
      <w:rFonts w:ascii="Tahoma" w:hAnsi="Tahoma" w:cs="Tahoma"/>
      <w:sz w:val="16"/>
      <w:szCs w:val="16"/>
      <w:lang w:val="en-US" w:eastAsia="en-US"/>
    </w:rPr>
  </w:style>
  <w:style w:type="paragraph" w:styleId="a9">
    <w:name w:val="footnote text"/>
    <w:basedOn w:val="a"/>
    <w:link w:val="aa"/>
    <w:rsid w:val="004E79D7"/>
    <w:rPr>
      <w:sz w:val="20"/>
    </w:rPr>
  </w:style>
  <w:style w:type="character" w:customStyle="1" w:styleId="aa">
    <w:name w:val="Текст сноски Знак"/>
    <w:basedOn w:val="a0"/>
    <w:link w:val="a9"/>
    <w:rsid w:val="004E79D7"/>
    <w:rPr>
      <w:lang w:val="en-US" w:eastAsia="en-US"/>
    </w:rPr>
  </w:style>
  <w:style w:type="character" w:styleId="ab">
    <w:name w:val="footnote reference"/>
    <w:basedOn w:val="a0"/>
    <w:rsid w:val="004E79D7"/>
    <w:rPr>
      <w:vertAlign w:val="superscript"/>
    </w:rPr>
  </w:style>
  <w:style w:type="character" w:styleId="ac">
    <w:name w:val="Hyperlink"/>
    <w:basedOn w:val="a0"/>
    <w:rsid w:val="00A33D3C"/>
    <w:rPr>
      <w:color w:val="0000FF" w:themeColor="hyperlink"/>
      <w:u w:val="single"/>
    </w:rPr>
  </w:style>
  <w:style w:type="character" w:styleId="ad">
    <w:name w:val="annotation reference"/>
    <w:basedOn w:val="a0"/>
    <w:rsid w:val="00A33D3C"/>
    <w:rPr>
      <w:sz w:val="16"/>
      <w:szCs w:val="16"/>
    </w:rPr>
  </w:style>
  <w:style w:type="paragraph" w:styleId="ae">
    <w:name w:val="annotation text"/>
    <w:basedOn w:val="a"/>
    <w:link w:val="af"/>
    <w:rsid w:val="00A33D3C"/>
    <w:rPr>
      <w:sz w:val="20"/>
    </w:rPr>
  </w:style>
  <w:style w:type="character" w:customStyle="1" w:styleId="af">
    <w:name w:val="Текст примечания Знак"/>
    <w:basedOn w:val="a0"/>
    <w:link w:val="ae"/>
    <w:rsid w:val="00A33D3C"/>
    <w:rPr>
      <w:lang w:val="en-US" w:eastAsia="en-US"/>
    </w:rPr>
  </w:style>
  <w:style w:type="paragraph" w:styleId="af0">
    <w:name w:val="annotation subject"/>
    <w:basedOn w:val="ae"/>
    <w:next w:val="ae"/>
    <w:link w:val="af1"/>
    <w:rsid w:val="00A33D3C"/>
    <w:rPr>
      <w:b/>
      <w:bCs/>
    </w:rPr>
  </w:style>
  <w:style w:type="character" w:customStyle="1" w:styleId="af1">
    <w:name w:val="Тема примечания Знак"/>
    <w:basedOn w:val="af"/>
    <w:link w:val="af0"/>
    <w:rsid w:val="00A33D3C"/>
    <w:rPr>
      <w:b/>
      <w:bCs/>
    </w:rPr>
  </w:style>
  <w:style w:type="paragraph" w:styleId="af2">
    <w:name w:val="endnote text"/>
    <w:basedOn w:val="a"/>
    <w:link w:val="af3"/>
    <w:rsid w:val="00FB7CF0"/>
    <w:rPr>
      <w:sz w:val="20"/>
    </w:rPr>
  </w:style>
  <w:style w:type="character" w:customStyle="1" w:styleId="af3">
    <w:name w:val="Текст концевой сноски Знак"/>
    <w:basedOn w:val="a0"/>
    <w:link w:val="af2"/>
    <w:rsid w:val="00FB7CF0"/>
    <w:rPr>
      <w:lang w:val="en-US" w:eastAsia="en-US"/>
    </w:rPr>
  </w:style>
  <w:style w:type="character" w:styleId="af4">
    <w:name w:val="endnote reference"/>
    <w:basedOn w:val="a0"/>
    <w:rsid w:val="00FB7CF0"/>
    <w:rPr>
      <w:vertAlign w:val="superscript"/>
    </w:rPr>
  </w:style>
  <w:style w:type="character" w:styleId="af5">
    <w:name w:val="FollowedHyperlink"/>
    <w:basedOn w:val="a0"/>
    <w:rsid w:val="00325D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fpl.gpi.ru/Zvenigorod/XLVII/R/ru/LB-Onge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574C-2598-4389-B8DC-8CCD94CE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187</TotalTime>
  <Pages>1</Pages>
  <Words>721</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LATEST RESULTS FROM FUSION RESEARCH IN EUROPE AND PLANS FOR THE FUTURE</vt:lpstr>
    </vt:vector>
  </TitlesOfParts>
  <Company/>
  <LinksUpToDate>false</LinksUpToDate>
  <CharactersWithSpaces>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RESULTS FROM FUSION RESEARCH IN EUROPE AND PLANS FOR THE FUTURE</dc:title>
  <dc:creator>sato</dc:creator>
  <cp:lastModifiedBy>Сатунин</cp:lastModifiedBy>
  <cp:revision>7</cp:revision>
  <cp:lastPrinted>1601-01-01T00:00:00Z</cp:lastPrinted>
  <dcterms:created xsi:type="dcterms:W3CDTF">2020-02-09T12:32:00Z</dcterms:created>
  <dcterms:modified xsi:type="dcterms:W3CDTF">2020-04-30T16:46:00Z</dcterms:modified>
</cp:coreProperties>
</file>