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27" w:rsidRPr="00091474" w:rsidRDefault="00E40D27" w:rsidP="00E40D27">
      <w:pPr>
        <w:pStyle w:val="Zv-Titlereport"/>
      </w:pPr>
      <w:r w:rsidRPr="00FD546A">
        <w:t>О численном моделировании уравнений нелинейной теории В</w:t>
      </w:r>
      <w:r>
        <w:t>ЫНУЖДЕННОГО</w:t>
      </w:r>
      <w:r w:rsidRPr="00FC362A">
        <w:t xml:space="preserve"> </w:t>
      </w:r>
      <w:r>
        <w:t>РАССЕЯНИЯ МАНДЕЛЬШТАМА-БРИЛЛЮЭНА</w:t>
      </w:r>
      <w:r w:rsidRPr="00FD546A">
        <w:t xml:space="preserve"> в плазме</w:t>
      </w:r>
      <w:r w:rsidR="00091474" w:rsidRPr="00091474">
        <w:t xml:space="preserve"> </w:t>
      </w:r>
      <w:r w:rsidR="00091474">
        <w:rPr>
          <w:rStyle w:val="ab"/>
        </w:rPr>
        <w:footnoteReference w:customMarkFollows="1" w:id="1"/>
        <w:t>*)</w:t>
      </w:r>
    </w:p>
    <w:p w:rsidR="00E40D27" w:rsidRPr="00FD546A" w:rsidRDefault="00E40D27" w:rsidP="00E40D27">
      <w:pPr>
        <w:pStyle w:val="Zv-Author"/>
      </w:pPr>
      <w:r w:rsidRPr="0056267D">
        <w:rPr>
          <w:vertAlign w:val="superscript"/>
        </w:rPr>
        <w:t>1</w:t>
      </w:r>
      <w:r w:rsidRPr="00FD546A">
        <w:t>Двинин С.А.,</w:t>
      </w:r>
      <w:r w:rsidRPr="0056267D">
        <w:t xml:space="preserve"> </w:t>
      </w:r>
      <w:r w:rsidRPr="0056267D">
        <w:rPr>
          <w:vertAlign w:val="superscript"/>
        </w:rPr>
        <w:t>2</w:t>
      </w:r>
      <w:r w:rsidRPr="00FD546A">
        <w:t>Солихов Д.К.,</w:t>
      </w:r>
      <w:r w:rsidRPr="0056267D">
        <w:t xml:space="preserve"> </w:t>
      </w:r>
      <w:r w:rsidRPr="0056267D">
        <w:rPr>
          <w:vertAlign w:val="superscript"/>
        </w:rPr>
        <w:t>2</w:t>
      </w:r>
      <w:r w:rsidRPr="00FD546A">
        <w:t>Хобилов Д.У.</w:t>
      </w:r>
    </w:p>
    <w:p w:rsidR="00E40D27" w:rsidRPr="00E40D27" w:rsidRDefault="00E40D27" w:rsidP="00E40D27">
      <w:pPr>
        <w:pStyle w:val="Zv-Organization"/>
      </w:pPr>
      <w:r w:rsidRPr="0056267D">
        <w:rPr>
          <w:vertAlign w:val="superscript"/>
        </w:rPr>
        <w:t>1</w:t>
      </w:r>
      <w:r w:rsidRPr="00FD546A">
        <w:t>Московский Государственный Университет имени М.В</w:t>
      </w:r>
      <w:r>
        <w:t>.</w:t>
      </w:r>
      <w:r w:rsidRPr="00FD546A">
        <w:t xml:space="preserve"> Ломоносова, Физический</w:t>
      </w:r>
      <w:r w:rsidRPr="00E40D27">
        <w:br/>
        <w:t xml:space="preserve">    </w:t>
      </w:r>
      <w:r w:rsidRPr="00FD546A">
        <w:t xml:space="preserve"> Факультет, Россия, Москва, </w:t>
      </w:r>
      <w:hyperlink r:id="rId8" w:history="1">
        <w:r w:rsidRPr="003324CC">
          <w:rPr>
            <w:rStyle w:val="a7"/>
          </w:rPr>
          <w:t>dvinin@phys.msu.ru</w:t>
        </w:r>
      </w:hyperlink>
      <w:r w:rsidRPr="00FD546A">
        <w:t>,</w:t>
      </w:r>
      <w:r w:rsidRPr="00FD546A">
        <w:br/>
      </w:r>
      <w:r w:rsidRPr="0056267D">
        <w:rPr>
          <w:vertAlign w:val="superscript"/>
        </w:rPr>
        <w:t>2</w:t>
      </w:r>
      <w:r w:rsidRPr="00FD546A">
        <w:t>Таджикский Национальный Университет, Физический Факультет, Таджикистан,</w:t>
      </w:r>
      <w:r w:rsidRPr="00E40D27">
        <w:br/>
        <w:t xml:space="preserve">    </w:t>
      </w:r>
      <w:r w:rsidRPr="00FD546A">
        <w:t xml:space="preserve"> Душанбе, </w:t>
      </w:r>
      <w:hyperlink r:id="rId9" w:history="1">
        <w:r w:rsidRPr="003324CC">
          <w:rPr>
            <w:rStyle w:val="a7"/>
          </w:rPr>
          <w:t>davlat56@mail.ru</w:t>
        </w:r>
      </w:hyperlink>
    </w:p>
    <w:p w:rsidR="00E40D27" w:rsidRDefault="00E40D27" w:rsidP="00E40D27">
      <w:pPr>
        <w:pStyle w:val="Zv-bodyreport"/>
      </w:pPr>
      <w:r w:rsidRPr="00C83801">
        <w:rPr>
          <w:lang w:val="tg-Cyrl-TJ"/>
        </w:rPr>
        <w:t xml:space="preserve">В </w:t>
      </w:r>
      <w:r w:rsidRPr="00C83801">
        <w:t>настоящей работе рассмотрен</w:t>
      </w:r>
      <w:r>
        <w:t>о</w:t>
      </w:r>
      <w:r w:rsidRPr="00C83801">
        <w:t xml:space="preserve"> численное решение уравнений нелинейной теории ВРМБ в однородной и неоднородной плазме с учётом генерации второй гармоники звуковой </w:t>
      </w:r>
      <w:r w:rsidRPr="000500A5">
        <w:t>волны и истощени</w:t>
      </w:r>
      <w:r>
        <w:t>я</w:t>
      </w:r>
      <w:r w:rsidRPr="000500A5">
        <w:t xml:space="preserve"> волны накачки. В отличие от работ [1 –</w:t>
      </w:r>
      <w:r w:rsidRPr="000500A5">
        <w:rPr>
          <w:lang w:val="tg-Cyrl-TJ"/>
        </w:rPr>
        <w:t xml:space="preserve"> </w:t>
      </w:r>
      <w:r w:rsidRPr="000500A5">
        <w:t xml:space="preserve">3], </w:t>
      </w:r>
      <w:r>
        <w:t>в которых</w:t>
      </w:r>
      <w:r w:rsidRPr="000500A5">
        <w:t xml:space="preserve"> не учитывалась</w:t>
      </w:r>
      <w:r w:rsidRPr="00C83801">
        <w:t xml:space="preserve"> диссипаци</w:t>
      </w:r>
      <w:r>
        <w:t>я</w:t>
      </w:r>
      <w:r w:rsidRPr="00C83801">
        <w:t xml:space="preserve"> звуковых волн, исследова</w:t>
      </w:r>
      <w:r>
        <w:t>н</w:t>
      </w:r>
      <w:r w:rsidRPr="00C83801">
        <w:t xml:space="preserve"> случай сильной диссипации, когда длина свободного пробега звуковых волн мала по сравнению с размерами области взаимодействия. В отличие от [</w:t>
      </w:r>
      <w:r w:rsidRPr="00FD546A">
        <w:t>4</w:t>
      </w:r>
      <w:r w:rsidRPr="00C83801">
        <w:t xml:space="preserve">], в работе исследовано влияние </w:t>
      </w:r>
      <w:r>
        <w:t>истощения</w:t>
      </w:r>
      <w:r w:rsidRPr="00C83801">
        <w:t xml:space="preserve"> волны </w:t>
      </w:r>
      <w:r>
        <w:t xml:space="preserve">накачки </w:t>
      </w:r>
      <w:r w:rsidRPr="00C83801">
        <w:t>на коэффициент отражения и интенсивности взаимодействующих волн.</w:t>
      </w:r>
    </w:p>
    <w:p w:rsidR="00E40D27" w:rsidRDefault="00E40D27" w:rsidP="00E40D27">
      <w:pPr>
        <w:pStyle w:val="Zv-bodyreport"/>
      </w:pPr>
      <w:r w:rsidRPr="00C83801">
        <w:t>Для рассмотрения ВРМБ используем систему уравнений для амплитуд</w:t>
      </w:r>
      <w:r w:rsidRPr="00381F4F">
        <w:t xml:space="preserve"> </w:t>
      </w:r>
      <w:r w:rsidRPr="00C83801">
        <w:t>рассеянной</w:t>
      </w:r>
      <w:r w:rsidRPr="00381F4F">
        <w:t xml:space="preserve"> </w:t>
      </w:r>
      <w:r>
        <w:t xml:space="preserve">электромагнитной волны </w:t>
      </w:r>
      <w:r w:rsidRPr="00E07C20">
        <w:rPr>
          <w:position w:val="-6"/>
        </w:rPr>
        <w:object w:dxaOrig="3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4.25pt" o:ole="">
            <v:imagedata r:id="rId10" o:title=""/>
          </v:shape>
          <o:OLEObject Type="Embed" ProgID="Equation.DSMT4" ShapeID="_x0000_i1025" DrawAspect="Content" ObjectID="_1649591429" r:id="rId11"/>
        </w:object>
      </w:r>
      <w:r>
        <w:t>,</w:t>
      </w:r>
      <w:r w:rsidRPr="00C83801">
        <w:t xml:space="preserve"> звуковой волны</w:t>
      </w:r>
      <w:r>
        <w:t xml:space="preserve"> </w:t>
      </w:r>
      <w:r>
        <w:sym w:font="Symbol" w:char="F06E"/>
      </w:r>
      <w:r w:rsidRPr="00381F4F">
        <w:rPr>
          <w:vertAlign w:val="subscript"/>
        </w:rPr>
        <w:t>1</w:t>
      </w:r>
      <w:r w:rsidRPr="00C83801">
        <w:t xml:space="preserve">, </w:t>
      </w:r>
      <w:r>
        <w:t xml:space="preserve">ее </w:t>
      </w:r>
      <w:r w:rsidRPr="00C83801">
        <w:t xml:space="preserve">второй гармоники </w:t>
      </w:r>
      <w:r>
        <w:sym w:font="Symbol" w:char="F06E"/>
      </w:r>
      <w:r>
        <w:rPr>
          <w:vertAlign w:val="subscript"/>
        </w:rPr>
        <w:t>2</w:t>
      </w:r>
      <w:r w:rsidRPr="00C83801">
        <w:t xml:space="preserve"> и для амплитуд</w:t>
      </w:r>
      <w:r>
        <w:t>ы</w:t>
      </w:r>
      <w:r w:rsidRPr="00C83801">
        <w:t xml:space="preserve"> волны</w:t>
      </w:r>
      <w:r>
        <w:t xml:space="preserve"> накачки </w:t>
      </w:r>
      <w:r w:rsidRPr="00E07C20">
        <w:rPr>
          <w:position w:val="-12"/>
        </w:rPr>
        <w:object w:dxaOrig="260" w:dyaOrig="360">
          <v:shape id="_x0000_i1026" type="#_x0000_t75" style="width:12.75pt;height:18pt" o:ole="">
            <v:imagedata r:id="rId12" o:title=""/>
          </v:shape>
          <o:OLEObject Type="Embed" ProgID="Equation.DSMT4" ShapeID="_x0000_i1026" DrawAspect="Content" ObjectID="_1649591430" r:id="rId13"/>
        </w:object>
      </w:r>
    </w:p>
    <w:p w:rsidR="00E40D27" w:rsidRDefault="00E40D27" w:rsidP="00E40D27">
      <w:pPr>
        <w:pStyle w:val="Zv-formula"/>
        <w:jc w:val="center"/>
      </w:pPr>
      <w:r w:rsidRPr="00E07C20">
        <w:rPr>
          <w:position w:val="-24"/>
        </w:rPr>
        <w:object w:dxaOrig="4420" w:dyaOrig="620">
          <v:shape id="_x0000_i1027" type="#_x0000_t75" style="width:221.25pt;height:30.75pt" o:ole="">
            <v:imagedata r:id="rId14" o:title=""/>
          </v:shape>
          <o:OLEObject Type="Embed" ProgID="Equation.DSMT4" ShapeID="_x0000_i1027" DrawAspect="Content" ObjectID="_1649591431" r:id="rId15"/>
        </w:object>
      </w:r>
      <w:r>
        <w:t xml:space="preserve">, </w:t>
      </w:r>
      <w:r w:rsidRPr="00E07C20">
        <w:rPr>
          <w:position w:val="-24"/>
        </w:rPr>
        <w:object w:dxaOrig="3040" w:dyaOrig="620">
          <v:shape id="_x0000_i1028" type="#_x0000_t75" style="width:152.25pt;height:30.75pt" o:ole="">
            <v:imagedata r:id="rId16" o:title=""/>
          </v:shape>
          <o:OLEObject Type="Embed" ProgID="Equation.DSMT4" ShapeID="_x0000_i1028" DrawAspect="Content" ObjectID="_1649591432" r:id="rId17"/>
        </w:object>
      </w:r>
      <w:r>
        <w:t xml:space="preserve">, </w:t>
      </w:r>
      <w:r w:rsidRPr="00E07C20">
        <w:rPr>
          <w:position w:val="-24"/>
        </w:rPr>
        <w:object w:dxaOrig="3620" w:dyaOrig="660">
          <v:shape id="_x0000_i1029" type="#_x0000_t75" style="width:180.75pt;height:33pt" o:ole="">
            <v:imagedata r:id="rId18" o:title=""/>
          </v:shape>
          <o:OLEObject Type="Embed" ProgID="Equation.DSMT4" ShapeID="_x0000_i1029" DrawAspect="Content" ObjectID="_1649591433" r:id="rId19"/>
        </w:object>
      </w:r>
      <w:r>
        <w:t xml:space="preserve">, </w:t>
      </w:r>
      <w:r w:rsidRPr="00E07C20">
        <w:rPr>
          <w:position w:val="-24"/>
        </w:rPr>
        <w:object w:dxaOrig="3280" w:dyaOrig="620">
          <v:shape id="_x0000_i1030" type="#_x0000_t75" style="width:164.25pt;height:30.75pt" o:ole="">
            <v:imagedata r:id="rId20" o:title=""/>
          </v:shape>
          <o:OLEObject Type="Embed" ProgID="Equation.DSMT4" ShapeID="_x0000_i1030" DrawAspect="Content" ObjectID="_1649591434" r:id="rId21"/>
        </w:object>
      </w:r>
      <w:r>
        <w:t>.</w:t>
      </w:r>
    </w:p>
    <w:p w:rsidR="00E40D27" w:rsidRDefault="00E40D27" w:rsidP="00E40D27">
      <w:pPr>
        <w:pStyle w:val="Zv-bodyreport"/>
      </w:pPr>
      <w:r>
        <w:t xml:space="preserve">В работе проведено решение данной системы уравнений в приближении сильного затухания звуковых волн. </w:t>
      </w:r>
    </w:p>
    <w:p w:rsidR="00E40D27" w:rsidRDefault="00E40D27" w:rsidP="00E40D27">
      <w:pPr>
        <w:pStyle w:val="Zv-bodyreport"/>
      </w:pPr>
      <w:r>
        <w:t>Основные результаты работы.</w:t>
      </w:r>
    </w:p>
    <w:p w:rsidR="00E40D27" w:rsidRPr="00752DCD" w:rsidRDefault="00E40D27" w:rsidP="00E40D27">
      <w:pPr>
        <w:pStyle w:val="Zv-bodyreport"/>
        <w:numPr>
          <w:ilvl w:val="0"/>
          <w:numId w:val="9"/>
        </w:numPr>
        <w:ind w:left="567" w:hanging="567"/>
      </w:pPr>
      <w:r>
        <w:t>П</w:t>
      </w:r>
      <w:r w:rsidRPr="00752DCD">
        <w:t>олучен</w:t>
      </w:r>
      <w:r>
        <w:t>а</w:t>
      </w:r>
      <w:r w:rsidRPr="00752DCD">
        <w:t xml:space="preserve"> система дифференциальных уравнений для интенсивностей взаимодействующих волн в приближении сильной диссипации звуковых волн в неоднородной плазме.</w:t>
      </w:r>
    </w:p>
    <w:p w:rsidR="00E40D27" w:rsidRPr="00752DCD" w:rsidRDefault="00E40D27" w:rsidP="00E40D27">
      <w:pPr>
        <w:pStyle w:val="Zv-bodyreport"/>
        <w:numPr>
          <w:ilvl w:val="0"/>
          <w:numId w:val="9"/>
        </w:numPr>
        <w:ind w:left="567" w:hanging="567"/>
      </w:pPr>
      <w:r w:rsidRPr="00752DCD">
        <w:t>Показано, что в однородной плазме учет генерации второй гармоники в приближении</w:t>
      </w:r>
      <w:r>
        <w:t xml:space="preserve"> </w:t>
      </w:r>
      <w:r w:rsidRPr="00752DCD">
        <w:t>сильно</w:t>
      </w:r>
      <w:r>
        <w:t xml:space="preserve">го </w:t>
      </w:r>
      <w:r w:rsidRPr="00752DCD">
        <w:t>затуха</w:t>
      </w:r>
      <w:r>
        <w:t>ния звуковой волны</w:t>
      </w:r>
      <w:r w:rsidRPr="00752DCD">
        <w:t xml:space="preserve"> существенно снижает коэффициент отражения.</w:t>
      </w:r>
    </w:p>
    <w:p w:rsidR="00E40D27" w:rsidRPr="00752DCD" w:rsidRDefault="00E40D27" w:rsidP="00E40D27">
      <w:pPr>
        <w:pStyle w:val="Zv-bodyreport"/>
        <w:numPr>
          <w:ilvl w:val="0"/>
          <w:numId w:val="9"/>
        </w:numPr>
        <w:ind w:left="567" w:hanging="567"/>
      </w:pPr>
      <w:r>
        <w:t>Рассчитаны</w:t>
      </w:r>
      <w:r w:rsidRPr="00752DCD">
        <w:t xml:space="preserve"> зависимости коэффициента отражения от диссипации рассеянных волн и толщина однородной плазмы в линейном и нелинейном приближении.</w:t>
      </w:r>
    </w:p>
    <w:p w:rsidR="00E40D27" w:rsidRPr="00752DCD" w:rsidRDefault="00E40D27" w:rsidP="00E40D27">
      <w:pPr>
        <w:pStyle w:val="Zv-bodyreport"/>
        <w:numPr>
          <w:ilvl w:val="0"/>
          <w:numId w:val="9"/>
        </w:numPr>
        <w:ind w:left="567" w:hanging="567"/>
      </w:pPr>
      <w:r w:rsidRPr="00752DCD">
        <w:t xml:space="preserve">Определен пороговый размер неоднородности плазмы, при котором её учет становится существенным. Показано, что этот размер зависит </w:t>
      </w:r>
      <w:r>
        <w:t xml:space="preserve">от </w:t>
      </w:r>
      <w:r w:rsidRPr="00752DCD">
        <w:t>отношени</w:t>
      </w:r>
      <w:r>
        <w:t>я</w:t>
      </w:r>
      <w:r w:rsidRPr="00752DCD">
        <w:t xml:space="preserve"> длина свободного пробега звуковых волн к длине волны накачки.</w:t>
      </w:r>
    </w:p>
    <w:p w:rsidR="00E40D27" w:rsidRPr="00752DCD" w:rsidRDefault="00E40D27" w:rsidP="00E40D27">
      <w:pPr>
        <w:pStyle w:val="Zv-bodyreport"/>
        <w:numPr>
          <w:ilvl w:val="0"/>
          <w:numId w:val="9"/>
        </w:numPr>
        <w:ind w:left="567" w:hanging="567"/>
      </w:pPr>
      <w:r w:rsidRPr="00752DCD">
        <w:t>Показано, что учет нелинейности звуковых волн в неоднородной плазме приводит к увеличению коэффициента отражения по сравнению с линейной теорией из-за расширения области резонансного взаимодействия волн.</w:t>
      </w:r>
    </w:p>
    <w:p w:rsidR="00E40D27" w:rsidRDefault="00E40D27" w:rsidP="00E40D27">
      <w:pPr>
        <w:pStyle w:val="Zv-TitleReferences-ru"/>
        <w:rPr>
          <w:lang w:val="en-US"/>
        </w:rPr>
      </w:pPr>
      <w:r>
        <w:t>Литература</w:t>
      </w:r>
      <w:r w:rsidRPr="0073589B">
        <w:rPr>
          <w:lang w:val="en-US"/>
        </w:rPr>
        <w:t xml:space="preserve"> </w:t>
      </w:r>
    </w:p>
    <w:p w:rsidR="00E40D27" w:rsidRPr="000500A5" w:rsidRDefault="00E40D27" w:rsidP="00E40D27">
      <w:pPr>
        <w:pStyle w:val="Zv-References-ru"/>
        <w:numPr>
          <w:ilvl w:val="0"/>
          <w:numId w:val="1"/>
        </w:numPr>
      </w:pPr>
      <w:r w:rsidRPr="000500A5">
        <w:t xml:space="preserve">Силин В.П., Тихончук В.Т. Письма в ЖЭТФ, 1981, </w:t>
      </w:r>
      <w:r w:rsidRPr="000500A5">
        <w:rPr>
          <w:b/>
          <w:bCs/>
        </w:rPr>
        <w:t>34</w:t>
      </w:r>
      <w:r w:rsidRPr="000500A5">
        <w:t xml:space="preserve">, </w:t>
      </w:r>
      <w:r>
        <w:t>№</w:t>
      </w:r>
      <w:r w:rsidRPr="000500A5">
        <w:t>7, 385.</w:t>
      </w:r>
    </w:p>
    <w:p w:rsidR="00E40D27" w:rsidRPr="000500A5" w:rsidRDefault="00E40D27" w:rsidP="00E40D27">
      <w:pPr>
        <w:pStyle w:val="Zv-References-ru"/>
        <w:numPr>
          <w:ilvl w:val="0"/>
          <w:numId w:val="1"/>
        </w:numPr>
      </w:pPr>
      <w:r w:rsidRPr="000500A5">
        <w:t xml:space="preserve">Силин В.П., Тихончук В.Т. Письма в ЖЭТФ, 1981, </w:t>
      </w:r>
      <w:r w:rsidRPr="000500A5">
        <w:rPr>
          <w:b/>
          <w:bCs/>
        </w:rPr>
        <w:t>83</w:t>
      </w:r>
      <w:r w:rsidRPr="000500A5">
        <w:t xml:space="preserve">, </w:t>
      </w:r>
      <w:r>
        <w:t>№</w:t>
      </w:r>
      <w:r w:rsidRPr="000500A5">
        <w:t>4(10), 1332.</w:t>
      </w:r>
    </w:p>
    <w:p w:rsidR="00E40D27" w:rsidRPr="000500A5" w:rsidRDefault="00E40D27" w:rsidP="00E40D27">
      <w:pPr>
        <w:pStyle w:val="Zv-References-ru"/>
        <w:numPr>
          <w:ilvl w:val="0"/>
          <w:numId w:val="1"/>
        </w:numPr>
        <w:rPr>
          <w:lang w:val="en-US"/>
        </w:rPr>
      </w:pPr>
      <w:r w:rsidRPr="000500A5">
        <w:rPr>
          <w:lang w:val="en-US"/>
        </w:rPr>
        <w:t xml:space="preserve">Kartunen S.J., Salomaa R.R. Phys. Lett, 1982, </w:t>
      </w:r>
      <w:r w:rsidRPr="000500A5">
        <w:rPr>
          <w:b/>
          <w:bCs/>
          <w:lang w:val="en-US"/>
        </w:rPr>
        <w:t>88A</w:t>
      </w:r>
      <w:r w:rsidRPr="000500A5">
        <w:rPr>
          <w:lang w:val="en-US"/>
        </w:rPr>
        <w:t>, N7, 350.</w:t>
      </w:r>
    </w:p>
    <w:p w:rsidR="00E40D27" w:rsidRPr="00C83801" w:rsidRDefault="00E40D27" w:rsidP="00E40D27">
      <w:pPr>
        <w:pStyle w:val="Zv-References-ru"/>
        <w:numPr>
          <w:ilvl w:val="0"/>
          <w:numId w:val="1"/>
        </w:numPr>
      </w:pPr>
      <w:r w:rsidRPr="00C83801">
        <w:t xml:space="preserve">Горбунов Л.М., Поляничев А.Н., Солихов Д.К. Физика плазмы, </w:t>
      </w:r>
      <w:r w:rsidRPr="000500A5">
        <w:rPr>
          <w:b/>
          <w:bCs/>
        </w:rPr>
        <w:t>9</w:t>
      </w:r>
      <w:r w:rsidRPr="00C83801">
        <w:t>, №4, 1983, с. 815.</w:t>
      </w:r>
    </w:p>
    <w:p w:rsidR="00654A7B" w:rsidRPr="00E40D27" w:rsidRDefault="00654A7B"/>
    <w:sectPr w:rsidR="00654A7B" w:rsidRPr="00E40D27" w:rsidSect="00F95123">
      <w:headerReference w:type="default" r:id="rId22"/>
      <w:footerReference w:type="even" r:id="rId23"/>
      <w:footerReference w:type="default" r:id="rId2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95" w:rsidRDefault="00B15295">
      <w:r>
        <w:separator/>
      </w:r>
    </w:p>
  </w:endnote>
  <w:endnote w:type="continuationSeparator" w:id="0">
    <w:p w:rsidR="00B15295" w:rsidRDefault="00B1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6A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6A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E5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95" w:rsidRDefault="00B15295">
      <w:r>
        <w:separator/>
      </w:r>
    </w:p>
  </w:footnote>
  <w:footnote w:type="continuationSeparator" w:id="0">
    <w:p w:rsidR="00B15295" w:rsidRDefault="00B15295">
      <w:r>
        <w:continuationSeparator/>
      </w:r>
    </w:p>
  </w:footnote>
  <w:footnote w:id="1">
    <w:p w:rsidR="00091474" w:rsidRPr="00091474" w:rsidRDefault="00091474">
      <w:pPr>
        <w:pStyle w:val="a9"/>
        <w:rPr>
          <w:sz w:val="22"/>
          <w:szCs w:val="22"/>
          <w:lang w:val="en-US"/>
        </w:rPr>
      </w:pPr>
      <w:r w:rsidRPr="00091474">
        <w:rPr>
          <w:rStyle w:val="ab"/>
          <w:sz w:val="22"/>
          <w:szCs w:val="22"/>
        </w:rPr>
        <w:t>*)</w:t>
      </w:r>
      <w:r w:rsidRPr="00091474">
        <w:rPr>
          <w:sz w:val="22"/>
          <w:szCs w:val="22"/>
        </w:rPr>
        <w:t xml:space="preserve">  </w:t>
      </w:r>
      <w:hyperlink r:id="rId1" w:history="1">
        <w:r w:rsidRPr="00811E5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8A6A1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E42AA"/>
    <w:multiLevelType w:val="hybridMultilevel"/>
    <w:tmpl w:val="839C8E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F480F"/>
    <w:multiLevelType w:val="hybridMultilevel"/>
    <w:tmpl w:val="6DBAD4AA"/>
    <w:lvl w:ilvl="0" w:tplc="BB288024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5295"/>
    <w:rsid w:val="00037DCC"/>
    <w:rsid w:val="00043701"/>
    <w:rsid w:val="0009147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041F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08BB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11E5C"/>
    <w:rsid w:val="008A6A12"/>
    <w:rsid w:val="008E2894"/>
    <w:rsid w:val="0094721E"/>
    <w:rsid w:val="00A66876"/>
    <w:rsid w:val="00A71613"/>
    <w:rsid w:val="00AB3459"/>
    <w:rsid w:val="00B15295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40D27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D2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40D27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40D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note text"/>
    <w:basedOn w:val="a"/>
    <w:link w:val="aa"/>
    <w:rsid w:val="0009147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91474"/>
  </w:style>
  <w:style w:type="character" w:styleId="ab">
    <w:name w:val="footnote reference"/>
    <w:basedOn w:val="a0"/>
    <w:rsid w:val="000914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inin@phys.msu.r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mailto:davlat56@mail.ru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Y-Dvi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C6F80-2850-42C1-96BE-ED6DEA6F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315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ЧИСЛЕННОМ МОДЕЛИРОВАНИИ УРАВНЕНИЙ НЕЛИНЕЙНОЙ ТЕОРИИ ВЫНУЖДЕННОГО РАССЕЯНИЯ МАНДЕЛЬШТАМА-БРИЛЛЮЭНА В ПЛАЗМЕ</dc:title>
  <dc:creator>sato</dc:creator>
  <cp:lastModifiedBy>Сатунин</cp:lastModifiedBy>
  <cp:revision>3</cp:revision>
  <cp:lastPrinted>1601-01-01T00:00:00Z</cp:lastPrinted>
  <dcterms:created xsi:type="dcterms:W3CDTF">2020-02-25T10:13:00Z</dcterms:created>
  <dcterms:modified xsi:type="dcterms:W3CDTF">2020-04-28T12:03:00Z</dcterms:modified>
</cp:coreProperties>
</file>