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B0" w:rsidRPr="00DD5275" w:rsidRDefault="00A951B0" w:rsidP="00A951B0">
      <w:pPr>
        <w:pStyle w:val="Zv-Titlereport"/>
      </w:pPr>
      <w:r w:rsidRPr="00466DB3">
        <w:t xml:space="preserve">ЭКСПЕРИМЕНТАЛЬНЫЙ ПЛАЗМЕННЫЙ МАЗЕР В </w:t>
      </w:r>
      <w:r>
        <w:t>режим</w:t>
      </w:r>
      <w:r w:rsidRPr="00466DB3">
        <w:t>Е ШИРОКОПОЛОСНОГО УСИЛИТЕЛЯ ШУМА</w:t>
      </w:r>
      <w:r w:rsidR="00DD5275" w:rsidRPr="00DD5275">
        <w:t xml:space="preserve"> </w:t>
      </w:r>
      <w:r w:rsidR="00DD5275">
        <w:rPr>
          <w:rStyle w:val="ad"/>
        </w:rPr>
        <w:footnoteReference w:customMarkFollows="1" w:id="1"/>
        <w:t>*)</w:t>
      </w:r>
    </w:p>
    <w:p w:rsidR="00A951B0" w:rsidRPr="00DD5275" w:rsidRDefault="00A951B0" w:rsidP="00A951B0">
      <w:pPr>
        <w:pStyle w:val="Zv-Author"/>
        <w:rPr>
          <w:lang w:val="en-US"/>
        </w:rPr>
      </w:pPr>
      <w:r w:rsidRPr="00DD5275">
        <w:rPr>
          <w:vertAlign w:val="superscript"/>
          <w:lang w:val="en-US"/>
        </w:rPr>
        <w:t>1,2</w:t>
      </w:r>
      <w:r>
        <w:t>Булейко</w:t>
      </w:r>
      <w:r w:rsidRPr="00DD5275">
        <w:rPr>
          <w:lang w:val="en-US"/>
        </w:rPr>
        <w:t xml:space="preserve"> </w:t>
      </w:r>
      <w:r>
        <w:t>А</w:t>
      </w:r>
      <w:r w:rsidRPr="00DD5275">
        <w:rPr>
          <w:lang w:val="en-US"/>
        </w:rPr>
        <w:t>.</w:t>
      </w:r>
      <w:r>
        <w:t>Б</w:t>
      </w:r>
      <w:r w:rsidRPr="00DD5275">
        <w:rPr>
          <w:lang w:val="en-US"/>
        </w:rPr>
        <w:t xml:space="preserve">., </w:t>
      </w:r>
      <w:r w:rsidRPr="00DD5275">
        <w:rPr>
          <w:vertAlign w:val="superscript"/>
          <w:lang w:val="en-US"/>
        </w:rPr>
        <w:t>3</w:t>
      </w:r>
      <w:r>
        <w:t>Пономарев</w:t>
      </w:r>
      <w:r w:rsidRPr="00DD5275">
        <w:rPr>
          <w:lang w:val="en-US"/>
        </w:rPr>
        <w:t xml:space="preserve"> </w:t>
      </w:r>
      <w:r>
        <w:t>А</w:t>
      </w:r>
      <w:r w:rsidRPr="00DD5275">
        <w:rPr>
          <w:lang w:val="en-US"/>
        </w:rPr>
        <w:t>.</w:t>
      </w:r>
      <w:r>
        <w:t>В</w:t>
      </w:r>
      <w:r w:rsidRPr="00DD5275">
        <w:rPr>
          <w:lang w:val="en-US"/>
        </w:rPr>
        <w:t xml:space="preserve">., </w:t>
      </w:r>
      <w:r w:rsidRPr="00DD5275">
        <w:rPr>
          <w:vertAlign w:val="superscript"/>
          <w:lang w:val="en-US"/>
        </w:rPr>
        <w:t>2</w:t>
      </w:r>
      <w:r>
        <w:t>Лоза</w:t>
      </w:r>
      <w:r w:rsidRPr="00DD5275">
        <w:rPr>
          <w:lang w:val="en-US"/>
        </w:rPr>
        <w:t xml:space="preserve"> </w:t>
      </w:r>
      <w:r>
        <w:t>О</w:t>
      </w:r>
      <w:r w:rsidRPr="00DD5275">
        <w:rPr>
          <w:lang w:val="en-US"/>
        </w:rPr>
        <w:t>.</w:t>
      </w:r>
      <w:r>
        <w:t>Т</w:t>
      </w:r>
      <w:r w:rsidRPr="00DD5275">
        <w:rPr>
          <w:lang w:val="en-US"/>
        </w:rPr>
        <w:t xml:space="preserve">., </w:t>
      </w:r>
      <w:r w:rsidRPr="00DD5275">
        <w:rPr>
          <w:vertAlign w:val="superscript"/>
          <w:lang w:val="en-US"/>
        </w:rPr>
        <w:t>3</w:t>
      </w:r>
      <w:r>
        <w:t>Ульянов</w:t>
      </w:r>
      <w:r w:rsidRPr="00DD5275">
        <w:rPr>
          <w:lang w:val="en-US"/>
        </w:rPr>
        <w:t xml:space="preserve"> </w:t>
      </w:r>
      <w:r>
        <w:t>Д</w:t>
      </w:r>
      <w:r w:rsidRPr="00DD5275">
        <w:rPr>
          <w:lang w:val="en-US"/>
        </w:rPr>
        <w:t>.</w:t>
      </w:r>
      <w:r>
        <w:t>К</w:t>
      </w:r>
      <w:r w:rsidRPr="00DD5275">
        <w:rPr>
          <w:lang w:val="en-US"/>
        </w:rPr>
        <w:t xml:space="preserve">. </w:t>
      </w:r>
    </w:p>
    <w:p w:rsidR="00A951B0" w:rsidRDefault="00A951B0" w:rsidP="00A951B0">
      <w:pPr>
        <w:pStyle w:val="Zv-Organization"/>
      </w:pPr>
      <w:r w:rsidRPr="00466DB3">
        <w:rPr>
          <w:vertAlign w:val="superscript"/>
        </w:rPr>
        <w:t>1</w:t>
      </w:r>
      <w:r>
        <w:t xml:space="preserve">АО «ГНЦ РФ ТРИНИТИ», </w:t>
      </w:r>
      <w:hyperlink r:id="rId8" w:history="1">
        <w:r w:rsidR="00C01F0E" w:rsidRPr="00CE3320">
          <w:rPr>
            <w:rStyle w:val="aa"/>
            <w:lang w:val="en-US"/>
          </w:rPr>
          <w:t>alla</w:t>
        </w:r>
        <w:r w:rsidR="00C01F0E" w:rsidRPr="00CE3320">
          <w:rPr>
            <w:rStyle w:val="aa"/>
          </w:rPr>
          <w:t>_</w:t>
        </w:r>
        <w:r w:rsidR="00C01F0E" w:rsidRPr="00CE3320">
          <w:rPr>
            <w:rStyle w:val="aa"/>
            <w:lang w:val="en-US"/>
          </w:rPr>
          <w:t>buleiko</w:t>
        </w:r>
        <w:r w:rsidR="00C01F0E" w:rsidRPr="00CE3320">
          <w:rPr>
            <w:rStyle w:val="aa"/>
          </w:rPr>
          <w:t>@</w:t>
        </w:r>
        <w:r w:rsidR="00C01F0E" w:rsidRPr="00CE3320">
          <w:rPr>
            <w:rStyle w:val="aa"/>
            <w:lang w:val="en-US"/>
          </w:rPr>
          <w:t>mail</w:t>
        </w:r>
        <w:r w:rsidR="00C01F0E" w:rsidRPr="00CE3320">
          <w:rPr>
            <w:rStyle w:val="aa"/>
          </w:rPr>
          <w:t>.</w:t>
        </w:r>
        <w:r w:rsidR="00C01F0E" w:rsidRPr="00CE3320">
          <w:rPr>
            <w:rStyle w:val="aa"/>
            <w:lang w:val="en-US"/>
          </w:rPr>
          <w:t>ru</w:t>
        </w:r>
      </w:hyperlink>
      <w:r w:rsidR="00C01F0E" w:rsidRPr="00C01F0E">
        <w:br/>
      </w:r>
      <w:r>
        <w:rPr>
          <w:vertAlign w:val="superscript"/>
        </w:rPr>
        <w:t>2</w:t>
      </w:r>
      <w:r>
        <w:t>Российский университет дружбы народов</w:t>
      </w:r>
      <w:r>
        <w:br/>
      </w:r>
      <w:r>
        <w:rPr>
          <w:vertAlign w:val="superscript"/>
        </w:rPr>
        <w:t>3</w:t>
      </w:r>
      <w:r w:rsidRPr="00351013">
        <w:t>Институт</w:t>
      </w:r>
      <w:r>
        <w:t xml:space="preserve"> общей физики им. А.М. Прохорова</w:t>
      </w:r>
      <w:r w:rsidRPr="00351013">
        <w:t xml:space="preserve"> РАН</w:t>
      </w:r>
      <w:r>
        <w:t xml:space="preserve"> </w:t>
      </w:r>
    </w:p>
    <w:p w:rsidR="00A951B0" w:rsidRDefault="00A951B0" w:rsidP="00A951B0">
      <w:pPr>
        <w:pStyle w:val="Zv-bodyreport"/>
      </w:pPr>
      <w:r w:rsidRPr="00300C3B">
        <w:t>Плазменные мазеры - это мощные микроволновые источники, работающие на основе черенковского взаимодействия релятивистского электронного пучка (РЭ</w:t>
      </w:r>
      <w:r>
        <w:t>П</w:t>
      </w:r>
      <w:r w:rsidRPr="00300C3B">
        <w:t>)</w:t>
      </w:r>
      <w:r>
        <w:t xml:space="preserve"> </w:t>
      </w:r>
      <w:r w:rsidRPr="00300C3B">
        <w:t>с медленной плазме</w:t>
      </w:r>
      <w:r>
        <w:t>нной</w:t>
      </w:r>
      <w:r w:rsidRPr="00300C3B">
        <w:t xml:space="preserve"> волной. </w:t>
      </w:r>
      <w:r>
        <w:t>П</w:t>
      </w:r>
      <w:r w:rsidRPr="00300C3B">
        <w:t xml:space="preserve">лазменные мазеры отличаются от вакуумных </w:t>
      </w:r>
      <w:r>
        <w:t>ламп</w:t>
      </w:r>
      <w:r w:rsidRPr="00300C3B">
        <w:t xml:space="preserve"> бегущей волны (</w:t>
      </w:r>
      <w:r>
        <w:t>ЛБВ</w:t>
      </w:r>
      <w:r w:rsidRPr="00300C3B">
        <w:t>) характером</w:t>
      </w:r>
      <w:r>
        <w:t xml:space="preserve"> замедляюще</w:t>
      </w:r>
      <w:r w:rsidRPr="00300C3B">
        <w:t xml:space="preserve">й структуры, а именно, вместо пространственно-периодического (например, гофрированного) волновода используется плазма. </w:t>
      </w:r>
      <w:r>
        <w:t>С</w:t>
      </w:r>
      <w:r w:rsidRPr="00300C3B">
        <w:t xml:space="preserve">пектр излучения плазменного мазера чрезвычайно широк </w:t>
      </w:r>
      <w:r w:rsidRPr="00313D57">
        <w:t>[1, 2]</w:t>
      </w:r>
      <w:r>
        <w:t xml:space="preserve"> </w:t>
      </w:r>
      <w:r w:rsidRPr="00300C3B">
        <w:t xml:space="preserve">(до 3 Октав) в отличие от спектра любого вакуумно-релятивистского сильноточного источника, такого как </w:t>
      </w:r>
      <w:r>
        <w:t>ЛБВ</w:t>
      </w:r>
      <w:r w:rsidRPr="00300C3B">
        <w:t xml:space="preserve"> и другие.</w:t>
      </w:r>
    </w:p>
    <w:p w:rsidR="00A951B0" w:rsidRPr="00DD5275" w:rsidRDefault="001C6783" w:rsidP="00A951B0">
      <w:pPr>
        <w:pStyle w:val="Zv-bodyrepor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pt;margin-top:88.5pt;width:266.7pt;height:211.85pt;z-index:251660288;mso-width-relative:margin;mso-height-relative:margin" stroked="f">
            <v:textbox>
              <w:txbxContent>
                <w:p w:rsidR="00A951B0" w:rsidRDefault="00A951B0">
                  <w:pPr>
                    <w:rPr>
                      <w:lang w:val="en-US"/>
                    </w:rPr>
                  </w:pPr>
                  <w:r w:rsidRPr="00A951B0">
                    <w:rPr>
                      <w:noProof/>
                    </w:rPr>
                    <w:drawing>
                      <wp:inline distT="0" distB="0" distL="0" distR="0">
                        <wp:extent cx="3019425" cy="2028825"/>
                        <wp:effectExtent l="1905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A951B0" w:rsidRPr="00A951B0" w:rsidRDefault="00A951B0" w:rsidP="00A951B0">
                  <w:pPr>
                    <w:ind w:left="426"/>
                  </w:pPr>
                  <w:r>
                    <w:t xml:space="preserve">Рисунок 1- Зависимость напряженности электрического поля СВЧ-волны от длины </w:t>
                  </w:r>
                  <w:r w:rsidRPr="000D6005">
                    <w:t>L</w:t>
                  </w:r>
                  <w:r>
                    <w:t xml:space="preserve"> плазменно-пучкового взаимодействия</w:t>
                  </w:r>
                </w:p>
              </w:txbxContent>
            </v:textbox>
            <w10:wrap type="square"/>
            <w10:anchorlock/>
          </v:shape>
        </w:pict>
      </w:r>
      <w:r w:rsidR="00A951B0" w:rsidRPr="00300C3B">
        <w:t>Эксперименты проводились с плазменным мазером, работающим в режиме усиления шума.</w:t>
      </w:r>
      <w:r w:rsidR="00A951B0">
        <w:t xml:space="preserve"> </w:t>
      </w:r>
      <w:r w:rsidR="00A951B0" w:rsidRPr="00300C3B">
        <w:t xml:space="preserve">Длительность импульса составляла 50 </w:t>
      </w:r>
      <w:r w:rsidR="00A951B0">
        <w:t>нс</w:t>
      </w:r>
      <w:r w:rsidR="00A951B0" w:rsidRPr="00300C3B">
        <w:t xml:space="preserve">, отсутствие обратной связи обеспечивалось </w:t>
      </w:r>
      <w:r w:rsidR="00A951B0">
        <w:t>СВЧ-</w:t>
      </w:r>
      <w:r w:rsidR="00A951B0" w:rsidRPr="00300C3B">
        <w:t>поглотителями</w:t>
      </w:r>
      <w:r w:rsidR="00A951B0">
        <w:t>, длина плазменно-пучкового взаимодействия</w:t>
      </w:r>
      <w:r w:rsidR="00A951B0" w:rsidRPr="00BF50AA">
        <w:t xml:space="preserve"> </w:t>
      </w:r>
      <w:r w:rsidR="00A951B0">
        <w:t>изменялась в широких пределах</w:t>
      </w:r>
      <w:r w:rsidR="00A951B0" w:rsidRPr="000D6005">
        <w:t>.</w:t>
      </w:r>
      <w:r w:rsidR="00A951B0">
        <w:t xml:space="preserve"> И</w:t>
      </w:r>
      <w:r w:rsidR="00A951B0" w:rsidRPr="00300C3B">
        <w:t>змерена максимальная мощность 10 МВт с КПД 3%. В полосе частот регистрировал</w:t>
      </w:r>
      <w:r w:rsidR="00A951B0">
        <w:t>и</w:t>
      </w:r>
      <w:r w:rsidR="00A951B0" w:rsidRPr="00300C3B">
        <w:t>с</w:t>
      </w:r>
      <w:r w:rsidR="00A951B0">
        <w:t>ь</w:t>
      </w:r>
      <w:r w:rsidR="00A951B0" w:rsidRPr="00300C3B">
        <w:t xml:space="preserve"> импульс</w:t>
      </w:r>
      <w:r w:rsidR="00A951B0">
        <w:t>ы</w:t>
      </w:r>
      <w:r w:rsidR="00A951B0" w:rsidRPr="00300C3B">
        <w:t xml:space="preserve"> излучения от 3 ГГц до 15 ГГц, спектр шума был примерно стабильным во время импульса.</w:t>
      </w:r>
    </w:p>
    <w:p w:rsidR="00A951B0" w:rsidRDefault="00A951B0" w:rsidP="00A951B0">
      <w:pPr>
        <w:pStyle w:val="Zv-bodyreport"/>
      </w:pPr>
      <w:r>
        <w:t>П</w:t>
      </w:r>
      <w:r w:rsidRPr="00300C3B">
        <w:t>родемонстрирован переход от режима усиления шума к режиму автоколебаний</w:t>
      </w:r>
      <w:r>
        <w:t>.</w:t>
      </w:r>
      <w:r w:rsidRPr="00300C3B">
        <w:t xml:space="preserve"> </w:t>
      </w:r>
      <w:r>
        <w:t>На рисунке</w:t>
      </w:r>
      <w:r w:rsidRPr="00986F0D">
        <w:t xml:space="preserve"> 1</w:t>
      </w:r>
      <w:r>
        <w:t xml:space="preserve"> в логарифмическом масштабе показана зависимость напряженности электрического поля СВЧ-волны на выходе плазменного мазера от длины взаимодействия </w:t>
      </w:r>
      <w:r w:rsidRPr="000D6005">
        <w:t>L</w:t>
      </w:r>
      <w:r w:rsidRPr="00D12716">
        <w:t xml:space="preserve">. </w:t>
      </w:r>
      <w:r>
        <w:t>До длины 27.5 см наблюдается экспоненциальный рост электрического</w:t>
      </w:r>
      <w:r w:rsidRPr="00A951B0">
        <w:t xml:space="preserve"> </w:t>
      </w:r>
      <w:r>
        <w:t xml:space="preserve">поля усиленной волны. По наклону прямой, аппроксимирующей этот участок графика, можно оценить пространственный коэффициент усиления </w:t>
      </w:r>
      <w:r w:rsidRPr="000D6005">
        <w:sym w:font="Symbol" w:char="F064"/>
      </w:r>
      <w:r w:rsidRPr="000D6005">
        <w:t>k</w:t>
      </w:r>
      <w:r>
        <w:t> </w:t>
      </w:r>
      <w:r>
        <w:sym w:font="Symbol" w:char="F0BB"/>
      </w:r>
      <w:r>
        <w:t> 0.25 см</w:t>
      </w:r>
      <w:r w:rsidRPr="00200EDA">
        <w:rPr>
          <w:vertAlign w:val="superscript"/>
        </w:rPr>
        <w:noBreakHyphen/>
        <w:t>1</w:t>
      </w:r>
      <w:r>
        <w:t>, значение которого хорошо согласуется с результатами расчетов</w:t>
      </w:r>
      <w:r w:rsidRPr="006509BE">
        <w:t xml:space="preserve"> </w:t>
      </w:r>
      <w:r w:rsidRPr="00371F3D">
        <w:t>[</w:t>
      </w:r>
      <w:r>
        <w:t>3</w:t>
      </w:r>
      <w:r w:rsidRPr="00371F3D">
        <w:t>]</w:t>
      </w:r>
      <w:r>
        <w:t xml:space="preserve">. При длинах </w:t>
      </w:r>
      <w:r w:rsidRPr="000D6005">
        <w:t>L </w:t>
      </w:r>
      <w:r w:rsidRPr="00B35961">
        <w:t>&gt;</w:t>
      </w:r>
      <w:r w:rsidRPr="000D6005">
        <w:t> </w:t>
      </w:r>
      <w:r w:rsidRPr="00657E7E">
        <w:t>2</w:t>
      </w:r>
      <w:r w:rsidRPr="00B35961">
        <w:t>7.5</w:t>
      </w:r>
      <w:r w:rsidRPr="00657E7E">
        <w:t xml:space="preserve"> </w:t>
      </w:r>
      <w:r>
        <w:t>см</w:t>
      </w:r>
      <w:r w:rsidRPr="00657E7E">
        <w:t xml:space="preserve"> </w:t>
      </w:r>
      <w:r>
        <w:t>наблюдается резкий скачок электрического поля</w:t>
      </w:r>
      <w:bookmarkStart w:id="0" w:name="_GoBack"/>
      <w:bookmarkEnd w:id="0"/>
      <w:r>
        <w:t xml:space="preserve"> вследствие перехода в режим автогенератора. </w:t>
      </w:r>
    </w:p>
    <w:p w:rsidR="00A951B0" w:rsidRDefault="00A951B0" w:rsidP="00A951B0">
      <w:pPr>
        <w:pStyle w:val="Zv-TitleReferences-ru"/>
      </w:pPr>
      <w:r>
        <w:t>Литература</w:t>
      </w:r>
    </w:p>
    <w:p w:rsidR="00A951B0" w:rsidRPr="00610C7B" w:rsidRDefault="00A951B0" w:rsidP="00A951B0">
      <w:pPr>
        <w:pStyle w:val="Zv-References-ru"/>
        <w:numPr>
          <w:ilvl w:val="0"/>
          <w:numId w:val="1"/>
        </w:numPr>
        <w:rPr>
          <w:lang w:val="en-US"/>
        </w:rPr>
      </w:pPr>
      <w:r w:rsidRPr="00A951B0">
        <w:rPr>
          <w:lang w:val="en-US"/>
        </w:rPr>
        <w:t xml:space="preserve">Kuzelev M.V., Loza O.T., Rukhadze A.A., Strelkov P.S. and Shkvarunets A.G., Plasma Phys. </w:t>
      </w:r>
      <w:r w:rsidRPr="00610C7B">
        <w:rPr>
          <w:lang w:val="en-US"/>
        </w:rPr>
        <w:t>Rep., 27(8), 669 (2001)</w:t>
      </w:r>
    </w:p>
    <w:p w:rsidR="00A951B0" w:rsidRDefault="00A951B0" w:rsidP="00A951B0">
      <w:pPr>
        <w:pStyle w:val="Zv-References-ru"/>
        <w:numPr>
          <w:ilvl w:val="0"/>
          <w:numId w:val="1"/>
        </w:numPr>
        <w:rPr>
          <w:lang w:val="en-US"/>
        </w:rPr>
      </w:pPr>
      <w:r w:rsidRPr="00313D57">
        <w:rPr>
          <w:lang w:val="en-US"/>
        </w:rPr>
        <w:t>Loza</w:t>
      </w:r>
      <w:r w:rsidRPr="00A819F8">
        <w:rPr>
          <w:lang w:val="en-US"/>
        </w:rPr>
        <w:t xml:space="preserve"> </w:t>
      </w:r>
      <w:r>
        <w:rPr>
          <w:lang w:val="en-US"/>
        </w:rPr>
        <w:t>O.</w:t>
      </w:r>
      <w:r w:rsidRPr="00313D57">
        <w:rPr>
          <w:lang w:val="en-US"/>
        </w:rPr>
        <w:t>T., Strelkov</w:t>
      </w:r>
      <w:r w:rsidRPr="00A819F8">
        <w:rPr>
          <w:lang w:val="en-US"/>
        </w:rPr>
        <w:t xml:space="preserve"> </w:t>
      </w:r>
      <w:r w:rsidRPr="00313D57">
        <w:rPr>
          <w:lang w:val="en-US"/>
        </w:rPr>
        <w:t>P.S., Ivanov</w:t>
      </w:r>
      <w:r w:rsidRPr="00A819F8">
        <w:rPr>
          <w:lang w:val="en-US"/>
        </w:rPr>
        <w:t xml:space="preserve"> </w:t>
      </w:r>
      <w:r w:rsidRPr="00313D57">
        <w:rPr>
          <w:lang w:val="en-US"/>
        </w:rPr>
        <w:t>I.E., IEEE Trans. on plasma science, 26(3), 336 (199</w:t>
      </w:r>
      <w:r>
        <w:rPr>
          <w:lang w:val="en-US"/>
        </w:rPr>
        <w:t>8)</w:t>
      </w:r>
    </w:p>
    <w:p w:rsidR="00A951B0" w:rsidRPr="008A478E" w:rsidRDefault="00A951B0" w:rsidP="00A951B0">
      <w:pPr>
        <w:pStyle w:val="Zv-References-ru"/>
        <w:numPr>
          <w:ilvl w:val="0"/>
          <w:numId w:val="1"/>
        </w:numPr>
        <w:rPr>
          <w:lang w:val="en-US"/>
        </w:rPr>
      </w:pPr>
      <w:r w:rsidRPr="008A478E">
        <w:rPr>
          <w:lang w:val="en-US"/>
        </w:rPr>
        <w:t xml:space="preserve">Bogdankevich I. L., Ivanov I. E., Loza O. T., et al. </w:t>
      </w:r>
      <w:r w:rsidRPr="00B35961">
        <w:rPr>
          <w:lang w:val="en-US"/>
        </w:rPr>
        <w:t>"Fine Structure of the Emission Spectra of a Relativistic Cherenkov Plasma Maser" // Plasma Physics Reports, Vol. 28, No. 8, 2002, pp. 690–698.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A3" w:rsidRDefault="00CB06A3">
      <w:r>
        <w:separator/>
      </w:r>
    </w:p>
  </w:endnote>
  <w:endnote w:type="continuationSeparator" w:id="0">
    <w:p w:rsidR="00CB06A3" w:rsidRDefault="00CB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C67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C67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A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A3" w:rsidRDefault="00CB06A3">
      <w:r>
        <w:separator/>
      </w:r>
    </w:p>
  </w:footnote>
  <w:footnote w:type="continuationSeparator" w:id="0">
    <w:p w:rsidR="00CB06A3" w:rsidRDefault="00CB06A3">
      <w:r>
        <w:continuationSeparator/>
      </w:r>
    </w:p>
  </w:footnote>
  <w:footnote w:id="1">
    <w:p w:rsidR="00DD5275" w:rsidRPr="00DD5275" w:rsidRDefault="00DD5275">
      <w:pPr>
        <w:pStyle w:val="ab"/>
        <w:rPr>
          <w:sz w:val="22"/>
          <w:szCs w:val="22"/>
          <w:lang w:val="en-US"/>
        </w:rPr>
      </w:pPr>
      <w:r w:rsidRPr="00DD5275">
        <w:rPr>
          <w:rStyle w:val="ad"/>
          <w:sz w:val="22"/>
          <w:szCs w:val="22"/>
        </w:rPr>
        <w:t>*)</w:t>
      </w:r>
      <w:r w:rsidRPr="00DD5275">
        <w:rPr>
          <w:sz w:val="22"/>
          <w:szCs w:val="22"/>
        </w:rPr>
        <w:t xml:space="preserve">  </w:t>
      </w:r>
      <w:hyperlink r:id="rId1" w:history="1">
        <w:r w:rsidRPr="00515AE5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C67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0C7B"/>
    <w:rsid w:val="00034D93"/>
    <w:rsid w:val="00037DCC"/>
    <w:rsid w:val="00043701"/>
    <w:rsid w:val="000C7078"/>
    <w:rsid w:val="000D76E9"/>
    <w:rsid w:val="000E495B"/>
    <w:rsid w:val="00140645"/>
    <w:rsid w:val="00171964"/>
    <w:rsid w:val="001C0CCB"/>
    <w:rsid w:val="001C6783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5AE5"/>
    <w:rsid w:val="00567C6F"/>
    <w:rsid w:val="00572013"/>
    <w:rsid w:val="0058676C"/>
    <w:rsid w:val="00610C7B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951B0"/>
    <w:rsid w:val="00AB3459"/>
    <w:rsid w:val="00B100C5"/>
    <w:rsid w:val="00B622ED"/>
    <w:rsid w:val="00B9584E"/>
    <w:rsid w:val="00BD05EF"/>
    <w:rsid w:val="00C01F0E"/>
    <w:rsid w:val="00C103CD"/>
    <w:rsid w:val="00C232A0"/>
    <w:rsid w:val="00CA791E"/>
    <w:rsid w:val="00CB06A3"/>
    <w:rsid w:val="00CE0E75"/>
    <w:rsid w:val="00D47F19"/>
    <w:rsid w:val="00DA4715"/>
    <w:rsid w:val="00DD527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1B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A95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951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951B0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C01F0E"/>
    <w:rPr>
      <w:color w:val="0000FF" w:themeColor="hyperlink"/>
      <w:u w:val="single"/>
    </w:rPr>
  </w:style>
  <w:style w:type="paragraph" w:styleId="ab">
    <w:name w:val="footnote text"/>
    <w:basedOn w:val="a"/>
    <w:link w:val="ac"/>
    <w:rsid w:val="00DD527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D5275"/>
  </w:style>
  <w:style w:type="character" w:styleId="ad">
    <w:name w:val="footnote reference"/>
    <w:basedOn w:val="a0"/>
    <w:rsid w:val="00DD52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_buleik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H-Bulei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oza_OT\Documents\GPI\ARTICLES\My_papers\2019_PNA_PoP\&#1054;&#1082;&#1086;&#1085;&#1095;&#1072;&#1090;\Fig%204,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023947931232888"/>
          <c:y val="9.2736571277118859E-2"/>
          <c:w val="0.8298513707850117"/>
          <c:h val="0.79875131988351988"/>
        </c:manualLayout>
      </c:layout>
      <c:scatterChart>
        <c:scatterStyle val="lineMarker"/>
        <c:ser>
          <c:idx val="0"/>
          <c:order val="0"/>
          <c:spPr>
            <a:ln w="19050">
              <a:noFill/>
            </a:ln>
          </c:spPr>
          <c:marker>
            <c:symbol val="diamond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exp"/>
          </c:trendline>
          <c:xVal>
            <c:numRef>
              <c:f>Лист1!$A$3:$A$7</c:f>
              <c:numCache>
                <c:formatCode>General</c:formatCode>
                <c:ptCount val="5"/>
                <c:pt idx="0">
                  <c:v>15</c:v>
                </c:pt>
                <c:pt idx="1">
                  <c:v>20</c:v>
                </c:pt>
                <c:pt idx="2">
                  <c:v>23</c:v>
                </c:pt>
                <c:pt idx="3">
                  <c:v>25</c:v>
                </c:pt>
                <c:pt idx="4">
                  <c:v>27.5</c:v>
                </c:pt>
              </c:numCache>
            </c:numRef>
          </c:xVal>
          <c:yVal>
            <c:numRef>
              <c:f>Лист1!$C$3:$C$7</c:f>
              <c:numCache>
                <c:formatCode>General</c:formatCode>
                <c:ptCount val="5"/>
                <c:pt idx="0">
                  <c:v>32</c:v>
                </c:pt>
                <c:pt idx="1">
                  <c:v>73</c:v>
                </c:pt>
                <c:pt idx="2">
                  <c:v>110</c:v>
                </c:pt>
                <c:pt idx="3">
                  <c:v>295</c:v>
                </c:pt>
                <c:pt idx="4">
                  <c:v>365</c:v>
                </c:pt>
              </c:numCache>
            </c:numRef>
          </c:yVal>
        </c:ser>
        <c:ser>
          <c:idx val="1"/>
          <c:order val="1"/>
          <c:spPr>
            <a:ln w="19050">
              <a:noFill/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Лист1!$A$5:$A$11</c:f>
              <c:numCache>
                <c:formatCode>General</c:formatCode>
                <c:ptCount val="7"/>
                <c:pt idx="0">
                  <c:v>23</c:v>
                </c:pt>
                <c:pt idx="1">
                  <c:v>25</c:v>
                </c:pt>
                <c:pt idx="2">
                  <c:v>27.5</c:v>
                </c:pt>
                <c:pt idx="3">
                  <c:v>28.5</c:v>
                </c:pt>
                <c:pt idx="4">
                  <c:v>30</c:v>
                </c:pt>
                <c:pt idx="5">
                  <c:v>33</c:v>
                </c:pt>
                <c:pt idx="6">
                  <c:v>37</c:v>
                </c:pt>
              </c:numCache>
            </c:numRef>
          </c:xVal>
          <c:yVal>
            <c:numRef>
              <c:f>Лист1!$D$5:$D$11</c:f>
              <c:numCache>
                <c:formatCode>General</c:formatCode>
                <c:ptCount val="7"/>
                <c:pt idx="0">
                  <c:v>230</c:v>
                </c:pt>
                <c:pt idx="1">
                  <c:v>435</c:v>
                </c:pt>
                <c:pt idx="2">
                  <c:v>860</c:v>
                </c:pt>
                <c:pt idx="3">
                  <c:v>2400</c:v>
                </c:pt>
                <c:pt idx="4">
                  <c:v>3200</c:v>
                </c:pt>
                <c:pt idx="5">
                  <c:v>4550</c:v>
                </c:pt>
                <c:pt idx="6">
                  <c:v>2550</c:v>
                </c:pt>
              </c:numCache>
            </c:numRef>
          </c:yVal>
        </c:ser>
        <c:ser>
          <c:idx val="2"/>
          <c:order val="2"/>
          <c:spPr>
            <a:ln w="19050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Лист1!$I$8:$I$10</c:f>
              <c:numCache>
                <c:formatCode>General</c:formatCode>
                <c:ptCount val="3"/>
                <c:pt idx="0">
                  <c:v>28.5</c:v>
                </c:pt>
                <c:pt idx="1">
                  <c:v>30</c:v>
                </c:pt>
                <c:pt idx="2">
                  <c:v>33</c:v>
                </c:pt>
              </c:numCache>
            </c:numRef>
          </c:xVal>
          <c:yVal>
            <c:numRef>
              <c:f>Лист1!$D$13:$D$15</c:f>
              <c:numCache>
                <c:formatCode>General</c:formatCode>
                <c:ptCount val="3"/>
                <c:pt idx="0">
                  <c:v>2400</c:v>
                </c:pt>
                <c:pt idx="1">
                  <c:v>3200</c:v>
                </c:pt>
                <c:pt idx="2">
                  <c:v>4550</c:v>
                </c:pt>
              </c:numCache>
            </c:numRef>
          </c:yVal>
        </c:ser>
        <c:axId val="129757184"/>
        <c:axId val="129758336"/>
      </c:scatterChart>
      <c:valAx>
        <c:axId val="129757184"/>
        <c:scaling>
          <c:orientation val="minMax"/>
          <c:max val="40"/>
          <c:min val="10"/>
        </c:scaling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L,</a:t>
                </a:r>
                <a:r>
                  <a:rPr lang="en-US" sz="1200" b="0" baseline="0">
                    <a:latin typeface="Times New Roman" pitchFamily="18" charset="0"/>
                    <a:cs typeface="Times New Roman" pitchFamily="18" charset="0"/>
                  </a:rPr>
                  <a:t> cm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84236047680758264"/>
              <c:y val="0.73950804233287981"/>
            </c:manualLayout>
          </c:layout>
        </c:title>
        <c:numFmt formatCode="General" sourceLinked="1"/>
        <c:minorTickMark val="out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129758336"/>
        <c:crosses val="autoZero"/>
        <c:crossBetween val="midCat"/>
      </c:valAx>
      <c:valAx>
        <c:axId val="129758336"/>
        <c:scaling>
          <c:logBase val="10"/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sz="1400"/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E, a.u.</a:t>
                </a:r>
              </a:p>
            </c:rich>
          </c:tx>
          <c:layout>
            <c:manualLayout>
              <c:xMode val="edge"/>
              <c:yMode val="edge"/>
              <c:x val="0.17345059150002731"/>
              <c:y val="6.6014729000983832E-2"/>
            </c:manualLayout>
          </c:layout>
        </c:title>
        <c:numFmt formatCode="General" sourceLinked="1"/>
        <c:minorTickMark val="out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129757184"/>
        <c:crosses val="autoZero"/>
        <c:crossBetween val="midCat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0.70279</cdr:x>
      <cdr:y>0.64964</cdr:y>
    </cdr:from>
    <cdr:to>
      <cdr:x>1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14575" y="22764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734FF-D60A-4B51-9110-1FC09694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12</TotalTime>
  <Pages>1</Pages>
  <Words>303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ЭКСПЕРИМЕНТАЛЬНЫЙ ПЛАЗМЕННЫЙ МАЗЕР В РЕЖИМЕ ШИРОКОПОЛОСНОГО УСИЛИТЕЛЯ ШУМА</vt:lpstr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ЭКСПЕРИМЕНТАЛЬНЫЙ ПЛАЗМЕННЫЙ МАЗЕР В РЕЖИМЕ ШИРОКОПОЛОСНОГО УСИЛИТЕЛЯ ШУМА</dc:title>
  <dc:creator>sato</dc:creator>
  <cp:lastModifiedBy>Сатунин</cp:lastModifiedBy>
  <cp:revision>4</cp:revision>
  <cp:lastPrinted>1601-01-01T00:00:00Z</cp:lastPrinted>
  <dcterms:created xsi:type="dcterms:W3CDTF">2020-02-23T20:29:00Z</dcterms:created>
  <dcterms:modified xsi:type="dcterms:W3CDTF">2020-04-28T11:15:00Z</dcterms:modified>
</cp:coreProperties>
</file>