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C5" w:rsidRPr="0029245D" w:rsidRDefault="0084677D" w:rsidP="00401E50">
      <w:pPr>
        <w:pStyle w:val="Zv-Titlereport"/>
        <w:ind w:left="1134" w:right="1133"/>
        <w:rPr>
          <w:lang w:val="en-US"/>
        </w:rPr>
      </w:pPr>
      <w:r w:rsidRPr="0084677D">
        <w:rPr>
          <w:noProof/>
          <w:lang w:val="en-US"/>
        </w:rPr>
        <w:pict>
          <v:shapetype id="_x0000_t202" coordsize="21600,21600" o:spt="202" path="m,l,21600r21600,l21600,xe">
            <v:stroke joinstyle="miter"/>
            <v:path gradientshapeok="t" o:connecttype="rect"/>
          </v:shapetype>
          <v:shape id="_x0000_s1077" type="#_x0000_t202" style="position:absolute;left:0;text-align:left;margin-left:-2.85pt;margin-top:-24.4pt;width:192pt;height:26.25pt;z-index:-251652096;mso-position-horizontal:absolute" stroked="f" strokecolor="red">
            <v:textbox style="mso-next-textbox:#_x0000_s1077">
              <w:txbxContent>
                <w:p w:rsidR="0084677D" w:rsidRPr="0095603D" w:rsidRDefault="0084677D" w:rsidP="003B6459">
                  <w:pPr>
                    <w:spacing w:before="80"/>
                    <w:rPr>
                      <w:sz w:val="22"/>
                      <w:szCs w:val="22"/>
                    </w:rPr>
                  </w:pPr>
                  <w:r w:rsidRPr="0095603D">
                    <w:rPr>
                      <w:sz w:val="22"/>
                      <w:szCs w:val="22"/>
                    </w:rPr>
                    <w:t>DOI:</w:t>
                  </w:r>
                  <w:r>
                    <w:rPr>
                      <w:sz w:val="22"/>
                      <w:szCs w:val="22"/>
                    </w:rPr>
                    <w:t xml:space="preserve"> </w:t>
                  </w:r>
                  <w:r w:rsidRPr="0084677D">
                    <w:rPr>
                      <w:sz w:val="22"/>
                      <w:szCs w:val="22"/>
                    </w:rPr>
                    <w:t>10.34854/ICPAF.2020.47.1.155</w:t>
                  </w:r>
                </w:p>
              </w:txbxContent>
            </v:textbox>
            <w10:anchorlock/>
          </v:shape>
        </w:pict>
      </w:r>
      <w:r w:rsidR="001E35C5" w:rsidRPr="0029245D">
        <w:rPr>
          <w:lang w:val="en-US"/>
        </w:rPr>
        <w:t>NARROWBAND GENERATION IN A PLASMA RELATIVISTIC MICROWAVE emitter</w:t>
      </w:r>
      <w:r w:rsidR="0029245D">
        <w:rPr>
          <w:lang w:val="en-US"/>
        </w:rPr>
        <w:t xml:space="preserve"> </w:t>
      </w:r>
      <w:r w:rsidR="0029245D">
        <w:rPr>
          <w:rStyle w:val="ab"/>
          <w:lang w:val="en-US"/>
        </w:rPr>
        <w:footnoteReference w:customMarkFollows="1" w:id="1"/>
        <w:t>*)</w:t>
      </w:r>
    </w:p>
    <w:p w:rsidR="001E35C5" w:rsidRDefault="001E35C5" w:rsidP="001E35C5">
      <w:pPr>
        <w:pStyle w:val="Zv-Author"/>
        <w:rPr>
          <w:lang w:val="en-US"/>
        </w:rPr>
      </w:pPr>
      <w:r>
        <w:rPr>
          <w:lang w:val="en-US"/>
        </w:rPr>
        <w:t>Ivanov I.</w:t>
      </w:r>
    </w:p>
    <w:p w:rsidR="001E35C5" w:rsidRDefault="001E35C5" w:rsidP="001E35C5">
      <w:pPr>
        <w:pStyle w:val="Zv-Organization"/>
        <w:rPr>
          <w:lang w:val="en-US"/>
        </w:rPr>
      </w:pPr>
      <w:r w:rsidRPr="00792DC1">
        <w:rPr>
          <w:lang w:val="en-US"/>
        </w:rPr>
        <w:t xml:space="preserve">Prokhorov General Physics Institute of the </w:t>
      </w:r>
      <w:smartTag w:uri="urn:schemas-microsoft-com:office:smarttags" w:element="PlaceName">
        <w:r w:rsidRPr="00792DC1">
          <w:rPr>
            <w:lang w:val="en-US"/>
          </w:rPr>
          <w:t>Russian</w:t>
        </w:r>
      </w:smartTag>
      <w:r w:rsidRPr="00792DC1">
        <w:rPr>
          <w:lang w:val="en-US"/>
        </w:rPr>
        <w:t xml:space="preserve"> </w:t>
      </w:r>
      <w:smartTag w:uri="urn:schemas-microsoft-com:office:smarttags" w:element="PlaceType">
        <w:r w:rsidRPr="00792DC1">
          <w:rPr>
            <w:lang w:val="en-US"/>
          </w:rPr>
          <w:t>Academy</w:t>
        </w:r>
      </w:smartTag>
      <w:r w:rsidRPr="00792DC1">
        <w:rPr>
          <w:lang w:val="en-US"/>
        </w:rPr>
        <w:t xml:space="preserve"> of Sciences</w:t>
      </w:r>
      <w:r>
        <w:rPr>
          <w:lang w:val="en-US"/>
        </w:rPr>
        <w:t xml:space="preserve">, </w:t>
      </w:r>
      <w:smartTag w:uri="urn:schemas-microsoft-com:office:smarttags" w:element="City">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Russian Federation</w:t>
            </w:r>
          </w:smartTag>
        </w:smartTag>
      </w:smartTag>
    </w:p>
    <w:p w:rsidR="001E35C5" w:rsidRDefault="001E35C5" w:rsidP="001E35C5">
      <w:pPr>
        <w:pStyle w:val="Zv-bodyreport"/>
        <w:rPr>
          <w:lang w:val="en-US"/>
        </w:rPr>
      </w:pPr>
      <w:r w:rsidRPr="001A79D4">
        <w:rPr>
          <w:lang w:val="en-US"/>
        </w:rPr>
        <w:t xml:space="preserve">The operation of a </w:t>
      </w:r>
      <w:r w:rsidRPr="00294F33">
        <w:rPr>
          <w:lang w:val="en-US"/>
        </w:rPr>
        <w:t>plasma</w:t>
      </w:r>
      <w:r w:rsidRPr="001A79D4">
        <w:rPr>
          <w:lang w:val="en-US"/>
        </w:rPr>
        <w:t xml:space="preserve"> relativistic emitter in the free-running mode is considered. The electron energy of the beam is 0.49 MeV, the beam current is 2.4 kA, and the plasma density in the system is 2 · </w:t>
      </w:r>
      <w:smartTag w:uri="urn:schemas-microsoft-com:office:smarttags" w:element="metricconverter">
        <w:smartTagPr>
          <w:attr w:name="ProductID" w:val="1012 cm"/>
        </w:smartTagPr>
        <w:r w:rsidRPr="001A79D4">
          <w:rPr>
            <w:lang w:val="en-US"/>
          </w:rPr>
          <w:t>10</w:t>
        </w:r>
        <w:r w:rsidRPr="001A79D4">
          <w:rPr>
            <w:vertAlign w:val="superscript"/>
            <w:lang w:val="en-US"/>
          </w:rPr>
          <w:t>12</w:t>
        </w:r>
        <w:r w:rsidRPr="001A79D4">
          <w:rPr>
            <w:lang w:val="en-US"/>
          </w:rPr>
          <w:t xml:space="preserve"> cm</w:t>
        </w:r>
      </w:smartTag>
      <w:r w:rsidRPr="001A79D4">
        <w:rPr>
          <w:lang w:val="en-US"/>
        </w:rPr>
        <w:t xml:space="preserve"> </w:t>
      </w:r>
      <w:r w:rsidRPr="001A79D4">
        <w:rPr>
          <w:vertAlign w:val="superscript"/>
          <w:lang w:val="en-US"/>
        </w:rPr>
        <w:t xml:space="preserve">– </w:t>
      </w:r>
      <w:smartTag w:uri="urn:schemas-microsoft-com:office:smarttags" w:element="metricconverter">
        <w:smartTagPr>
          <w:attr w:name="ProductID" w:val="3. In"/>
        </w:smartTagPr>
        <w:r w:rsidRPr="001A79D4">
          <w:rPr>
            <w:vertAlign w:val="superscript"/>
            <w:lang w:val="en-US"/>
          </w:rPr>
          <w:t>3</w:t>
        </w:r>
        <w:r w:rsidRPr="001A79D4">
          <w:rPr>
            <w:lang w:val="en-US"/>
          </w:rPr>
          <w:t>. In</w:t>
        </w:r>
      </w:smartTag>
      <w:r w:rsidRPr="001A79D4">
        <w:rPr>
          <w:lang w:val="en-US"/>
        </w:rPr>
        <w:t xml:space="preserve"> contrast to [1, 2], the base cavity length </w:t>
      </w:r>
      <w:r w:rsidRPr="001A79D4">
        <w:rPr>
          <w:i/>
          <w:lang w:val="en-US"/>
        </w:rPr>
        <w:t>L</w:t>
      </w:r>
      <w:r w:rsidRPr="001A79D4">
        <w:rPr>
          <w:vertAlign w:val="subscript"/>
          <w:lang w:val="en-US"/>
        </w:rPr>
        <w:t>0</w:t>
      </w:r>
      <w:r w:rsidRPr="001A79D4">
        <w:rPr>
          <w:lang w:val="en-US"/>
        </w:rPr>
        <w:t xml:space="preserve"> is reduced to </w:t>
      </w:r>
      <w:smartTag w:uri="urn:schemas-microsoft-com:office:smarttags" w:element="metricconverter">
        <w:smartTagPr>
          <w:attr w:name="ProductID" w:val="0.4 m"/>
        </w:smartTagPr>
        <w:r w:rsidRPr="001A79D4">
          <w:rPr>
            <w:lang w:val="en-US"/>
          </w:rPr>
          <w:t>0.4 m</w:t>
        </w:r>
      </w:smartTag>
      <w:r w:rsidRPr="001A79D4">
        <w:rPr>
          <w:lang w:val="en-US"/>
        </w:rPr>
        <w:t>, Fig. 1. This made it possible to obtain rather simple spectra and generation on a small number of longitudinal modes, Fig. 2. The experimental spectra of microwave radiation in the range 2 - 4 GHz with a duration of up to 300 ns at various values of the plasma density are presented. According to the graphs of instantaneous frequency, Fig. 3, it is possible to determine the generation frequency at an appropriate point in time. During a single pulse, generation, as a rule, occurs at several frequencies, but not simultaneously, but at each moment in time at one frequency. The repeatability of the spectra under the same initial conditions in different pulses is not observed. A technique is proposed for determining the effective cavity lengths for various longitudinal modes.</w:t>
      </w:r>
    </w:p>
    <w:p w:rsidR="001E35C5" w:rsidRDefault="00EF3103" w:rsidP="001E35C5">
      <w:pPr>
        <w:pStyle w:val="Zv-bodyreport"/>
        <w:rPr>
          <w:lang w:val="en-US"/>
        </w:rPr>
      </w:pPr>
      <w:r>
        <w:rPr>
          <w:noProof/>
        </w:rPr>
        <w:pict>
          <v:group id="_x0000_s1026" editas="canvas" style="position:absolute;left:0;text-align:left;margin-left:14.2pt;margin-top:0;width:318.05pt;height:141.75pt;z-index:251660288" coordorigin="434,348" coordsize="9732,4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4;top:348;width:9732;height:4337" o:preferrelative="f">
              <v:fill o:detectmouseclick="t"/>
              <v:path o:extrusionok="t" o:connecttype="none"/>
              <o:lock v:ext="edit" text="t"/>
            </v:shape>
            <v:shape id="_x0000_s1028" type="#_x0000_t202" style="position:absolute;left:5683;top:3122;width:732;height:484" filled="f" stroked="f">
              <v:textbox inset="1.51892mm,.75944mm,1.51892mm,.75944mm">
                <w:txbxContent>
                  <w:p w:rsidR="001E35C5" w:rsidRPr="00375094" w:rsidRDefault="001E35C5" w:rsidP="001E35C5">
                    <w:pPr>
                      <w:autoSpaceDE w:val="0"/>
                      <w:autoSpaceDN w:val="0"/>
                      <w:adjustRightInd w:val="0"/>
                      <w:rPr>
                        <w:rFonts w:ascii="Arial" w:hAnsi="Arial" w:cs="Arial"/>
                        <w:i/>
                        <w:iCs/>
                        <w:color w:val="000000"/>
                        <w:sz w:val="21"/>
                        <w:szCs w:val="36"/>
                      </w:rPr>
                    </w:pPr>
                    <w:r w:rsidRPr="00375094">
                      <w:rPr>
                        <w:i/>
                        <w:iCs/>
                        <w:color w:val="000000"/>
                        <w:sz w:val="21"/>
                        <w:szCs w:val="36"/>
                        <w:lang w:val="en-US"/>
                      </w:rPr>
                      <w:t>L</w:t>
                    </w:r>
                    <w:r w:rsidRPr="00375094">
                      <w:rPr>
                        <w:iCs/>
                        <w:color w:val="000000"/>
                        <w:sz w:val="21"/>
                        <w:szCs w:val="36"/>
                        <w:vertAlign w:val="subscript"/>
                        <w:lang w:val="en-US"/>
                      </w:rPr>
                      <w:t>0</w:t>
                    </w:r>
                  </w:p>
                </w:txbxContent>
              </v:textbox>
            </v:shape>
            <v:line id="_x0000_s1029" style="position:absolute" from="977,2339" to="9377,2340">
              <v:stroke dashstyle="dashDot"/>
            </v:line>
            <v:line id="_x0000_s1030" style="position:absolute;flip:y" from="977,1780" to="7883,1796" strokeweight="1.5pt"/>
            <v:line id="_x0000_s1031" style="position:absolute;flip:y" from="7877,1279" to="9713,1780" strokeweight="1.5pt"/>
            <v:line id="_x0000_s1032" style="position:absolute" from="7855,2882" to="9713,3434" strokeweight="1.5pt"/>
            <v:shape id="_x0000_s1033" style="position:absolute;left:7855;top:2520;width:1267;height:724" coordsize="1264,864" path="m,c231,37,463,74,638,151v175,77,309,194,413,313c1155,583,1209,723,1264,864e" filled="f" strokeweight="1.5pt">
              <v:path arrowok="t"/>
            </v:shape>
            <v:shape id="_x0000_s1034" style="position:absolute;left:7880;top:2158;width:1641;height:1212" coordsize="1665,1352" path="m,c251,47,503,94,714,188v211,94,407,233,551,375c1409,705,1511,908,1578,1039v67,131,77,222,87,313e" filled="f" strokeweight="1.5pt">
              <v:path arrowok="t"/>
            </v:shape>
            <v:line id="_x0000_s1035" style="position:absolute" from="6914,1068" to="7131,2158">
              <v:stroke endarrow="block"/>
            </v:line>
            <v:line id="_x0000_s1036" style="position:absolute" from="4959,2520" to="4960,2882" strokeweight="3pt"/>
            <v:line id="_x0000_s1037" style="position:absolute" from="4959,2882" to="4960,3606"/>
            <v:line id="_x0000_s1038" style="position:absolute" from="6948,2520" to="6950,3606"/>
            <v:line id="_x0000_s1039" style="position:absolute" from="4949,3605" to="6950,3606">
              <v:stroke startarrow="block" endarrow="block"/>
            </v:line>
            <v:line id="_x0000_s1040" style="position:absolute;flip:x y" from="4956,1799" to="4959,2158" strokeweight="3pt"/>
            <v:rect id="_x0000_s1041" style="position:absolute;left:1158;top:1462;width:157;height:302" strokeweight="1.5pt"/>
            <v:rect id="_x0000_s1042" style="position:absolute;left:1375;top:1462;width:155;height:302" strokeweight="1.5pt"/>
            <v:rect id="_x0000_s1043" style="position:absolute;left:1158;top:2882;width:157;height:301" strokeweight="1.5pt"/>
            <v:rect id="_x0000_s1044" style="position:absolute;left:1339;top:2882;width:154;height:301" strokeweight="1.5pt"/>
            <v:line id="_x0000_s1045" style="position:absolute;flip:x" from="1339,3606" to="4959,3607">
              <v:stroke startarrow="block" endarrow="block"/>
            </v:line>
            <v:shape id="_x0000_s1046" type="#_x0000_t202" style="position:absolute;left:6876;top:3229;width:979;height:558" filled="f" stroked="f">
              <v:textbox inset="1.51892mm,.75944mm,1.51892mm,.75944mm">
                <w:txbxContent>
                  <w:p w:rsidR="001E35C5" w:rsidRPr="00375094" w:rsidRDefault="001E35C5" w:rsidP="001E35C5">
                    <w:pPr>
                      <w:autoSpaceDE w:val="0"/>
                      <w:autoSpaceDN w:val="0"/>
                      <w:adjustRightInd w:val="0"/>
                      <w:rPr>
                        <w:rFonts w:ascii="Arial" w:hAnsi="Arial" w:cs="Arial"/>
                        <w:color w:val="000000"/>
                        <w:sz w:val="17"/>
                        <w:szCs w:val="28"/>
                        <w:lang w:val="en-US"/>
                      </w:rPr>
                    </w:pPr>
                    <w:r w:rsidRPr="00375094">
                      <w:rPr>
                        <w:color w:val="000000"/>
                        <w:sz w:val="17"/>
                        <w:szCs w:val="28"/>
                        <w:lang w:val="en-US"/>
                      </w:rPr>
                      <w:t>200</w:t>
                    </w:r>
                  </w:p>
                </w:txbxContent>
              </v:textbox>
            </v:shape>
            <v:line id="_x0000_s1047" style="position:absolute" from="7887,2301" to="7887,2603" strokecolor="white" strokeweight="1.5pt"/>
            <v:rect id="_x0000_s1048" style="position:absolute;left:7698;top:1468;width:154;height:303" strokeweight="1.5pt"/>
            <v:rect id="_x0000_s1049" style="position:absolute;left:7495;top:1468;width:154;height:303" strokeweight="1.5pt"/>
            <v:rect id="_x0000_s1050" style="position:absolute;left:7723;top:2882;width:154;height:302" strokeweight="1.5pt"/>
            <v:rect id="_x0000_s1051" style="position:absolute;left:7518;top:2882;width:155;height:302" strokeweight="1.5pt"/>
            <v:line id="_x0000_s1052" style="position:absolute;flip:y" from="977,2882" to="7883,2898" strokeweight="1.5pt"/>
            <v:line id="_x0000_s1053" style="position:absolute;flip:x" from="1158,2158" to="4959,2159" strokeweight="3pt"/>
            <v:line id="_x0000_s1054" style="position:absolute;flip:x" from="1158,2520" to="4959,2520" strokeweight="3pt"/>
            <v:line id="_x0000_s1055" style="position:absolute" from="6950,2158" to="7855,2158" strokeweight="1.5pt"/>
            <v:line id="_x0000_s1056" style="position:absolute" from="6950,2520" to="7855,2520" strokeweight="1.5pt"/>
            <v:line id="_x0000_s1057" style="position:absolute" from="6950,2158" to="6950,2520" strokeweight="1.5pt"/>
            <v:line id="_x0000_s1058" style="position:absolute" from="1339,1796" to="1339,2158" strokeweight="1.5pt"/>
            <v:line id="_x0000_s1059" style="position:absolute;flip:y" from="1339,2520" to="1339,2882" strokeweight="1.5pt"/>
            <v:line id="_x0000_s1060" style="position:absolute" from="1339,3244" to="1339,4330"/>
            <v:line id="_x0000_s1061" style="position:absolute" from="7674,3244" to="7674,4511"/>
            <v:line id="_x0000_s1062" style="position:absolute" from="1339,4149" to="7674,4149">
              <v:stroke startarrow="block" endarrow="block"/>
            </v:line>
            <v:shape id="_x0000_s1063" type="#_x0000_t202" style="position:absolute;left:4054;top:3787;width:979;height:558" filled="f" stroked="f">
              <v:textbox inset="1.51892mm,.75944mm,1.51892mm,.75944mm">
                <w:txbxContent>
                  <w:p w:rsidR="001E35C5" w:rsidRPr="00375094" w:rsidRDefault="001E35C5" w:rsidP="001E35C5">
                    <w:pPr>
                      <w:autoSpaceDE w:val="0"/>
                      <w:autoSpaceDN w:val="0"/>
                      <w:adjustRightInd w:val="0"/>
                      <w:rPr>
                        <w:color w:val="000000"/>
                        <w:sz w:val="17"/>
                        <w:szCs w:val="28"/>
                        <w:lang w:val="en-US"/>
                      </w:rPr>
                    </w:pPr>
                    <w:r w:rsidRPr="00375094">
                      <w:rPr>
                        <w:color w:val="000000"/>
                        <w:sz w:val="17"/>
                        <w:szCs w:val="28"/>
                        <w:lang w:val="en-US"/>
                      </w:rPr>
                      <w:t>1210</w:t>
                    </w:r>
                  </w:p>
                </w:txbxContent>
              </v:textbox>
            </v:shape>
            <v:line id="_x0000_s1064" style="position:absolute" from="6950,3606" to="7674,3606">
              <v:stroke startarrow="block" endarrow="block"/>
            </v:line>
            <v:line id="_x0000_s1065" style="position:absolute" from="8398,1072" to="8941,1434">
              <v:stroke endarrow="block"/>
            </v:line>
            <v:line id="_x0000_s1066" style="position:absolute" from="3511,1072" to="4597,2158">
              <v:stroke endarrow="block"/>
            </v:line>
            <v:shape id="_x0000_s1067" type="#_x0000_t202" style="position:absolute;left:2829;top:3163;width:979;height:558" filled="f" stroked="f">
              <v:textbox inset="1.51892mm,.75944mm,1.51892mm,.75944mm">
                <w:txbxContent>
                  <w:p w:rsidR="001E35C5" w:rsidRPr="00375094" w:rsidRDefault="001E35C5" w:rsidP="001E35C5">
                    <w:pPr>
                      <w:autoSpaceDE w:val="0"/>
                      <w:autoSpaceDN w:val="0"/>
                      <w:adjustRightInd w:val="0"/>
                      <w:rPr>
                        <w:color w:val="000000"/>
                        <w:sz w:val="17"/>
                        <w:szCs w:val="28"/>
                      </w:rPr>
                    </w:pPr>
                    <w:r w:rsidRPr="00375094">
                      <w:rPr>
                        <w:color w:val="000000"/>
                        <w:sz w:val="17"/>
                        <w:szCs w:val="28"/>
                      </w:rPr>
                      <w:t>620</w:t>
                    </w:r>
                  </w:p>
                </w:txbxContent>
              </v:textbox>
            </v:shape>
            <v:line id="_x0000_s1068" style="position:absolute" from="2063,2339" to="3511,2340" strokeweight="1.5pt">
              <v:stroke endarrow="block"/>
            </v:line>
            <v:line id="_x0000_s1069" style="position:absolute" from="5654,1068" to="6014,1788">
              <v:stroke endarrow="block"/>
            </v:line>
            <v:shape id="_x0000_s1070" type="#_x0000_t202" style="position:absolute;left:3134;top:528;width:540;height:720" filled="f" stroked="f">
              <v:textbox inset="4.68pt,2.34pt,4.68pt,2.34pt">
                <w:txbxContent>
                  <w:p w:rsidR="001E35C5" w:rsidRPr="00375094" w:rsidRDefault="001E35C5" w:rsidP="001E35C5">
                    <w:pPr>
                      <w:rPr>
                        <w:sz w:val="26"/>
                        <w:szCs w:val="40"/>
                      </w:rPr>
                    </w:pPr>
                    <w:r w:rsidRPr="00375094">
                      <w:rPr>
                        <w:sz w:val="26"/>
                        <w:szCs w:val="40"/>
                      </w:rPr>
                      <w:t>1</w:t>
                    </w:r>
                  </w:p>
                </w:txbxContent>
              </v:textbox>
            </v:shape>
            <v:shape id="_x0000_s1071" type="#_x0000_t202" style="position:absolute;left:5294;top:528;width:540;height:720" filled="f" stroked="f">
              <v:textbox inset="4.68pt,2.34pt,4.68pt,2.34pt">
                <w:txbxContent>
                  <w:p w:rsidR="001E35C5" w:rsidRPr="00375094" w:rsidRDefault="001E35C5" w:rsidP="001E35C5">
                    <w:pPr>
                      <w:rPr>
                        <w:sz w:val="26"/>
                        <w:szCs w:val="40"/>
                      </w:rPr>
                    </w:pPr>
                    <w:r w:rsidRPr="00375094">
                      <w:rPr>
                        <w:sz w:val="26"/>
                        <w:szCs w:val="40"/>
                      </w:rPr>
                      <w:t>2</w:t>
                    </w:r>
                  </w:p>
                </w:txbxContent>
              </v:textbox>
            </v:shape>
            <v:shape id="_x0000_s1072" type="#_x0000_t202" style="position:absolute;left:6554;top:528;width:540;height:720" filled="f" stroked="f">
              <v:textbox inset="4.68pt,2.34pt,4.68pt,2.34pt">
                <w:txbxContent>
                  <w:p w:rsidR="001E35C5" w:rsidRPr="00375094" w:rsidRDefault="001E35C5" w:rsidP="001E35C5">
                    <w:pPr>
                      <w:rPr>
                        <w:sz w:val="26"/>
                        <w:szCs w:val="40"/>
                      </w:rPr>
                    </w:pPr>
                    <w:r w:rsidRPr="00375094">
                      <w:rPr>
                        <w:sz w:val="26"/>
                        <w:szCs w:val="40"/>
                      </w:rPr>
                      <w:t>3</w:t>
                    </w:r>
                  </w:p>
                </w:txbxContent>
              </v:textbox>
            </v:shape>
            <v:shape id="_x0000_s1073" type="#_x0000_t202" style="position:absolute;left:7994;top:528;width:540;height:720" filled="f" stroked="f">
              <v:textbox inset="4.68pt,2.34pt,4.68pt,2.34pt">
                <w:txbxContent>
                  <w:p w:rsidR="001E35C5" w:rsidRPr="00375094" w:rsidRDefault="001E35C5" w:rsidP="001E35C5">
                    <w:pPr>
                      <w:rPr>
                        <w:sz w:val="26"/>
                        <w:szCs w:val="40"/>
                      </w:rPr>
                    </w:pPr>
                    <w:r w:rsidRPr="00375094">
                      <w:rPr>
                        <w:sz w:val="26"/>
                        <w:szCs w:val="40"/>
                      </w:rPr>
                      <w:t>4</w:t>
                    </w:r>
                  </w:p>
                </w:txbxContent>
              </v:textbox>
            </v:shape>
            <w10:wrap type="square"/>
          </v:group>
        </w:pict>
      </w:r>
    </w:p>
    <w:p w:rsidR="001E35C5" w:rsidRPr="001A79D4" w:rsidRDefault="001E35C5" w:rsidP="001E35C5">
      <w:pPr>
        <w:pStyle w:val="Zv-bodyreport"/>
        <w:rPr>
          <w:lang w:val="en-US"/>
        </w:rPr>
      </w:pPr>
      <w:r w:rsidRPr="001A79D4">
        <w:rPr>
          <w:lang w:val="en-US"/>
        </w:rPr>
        <w:t>Fig. 1. Diagram of the working part of the emitter. L0 = 0.39m - the base cavity length. 1 - a tube with a reflective disk, 2 - a waveguide, 3 - a collector, 4 - a horn.</w:t>
      </w:r>
    </w:p>
    <w:p w:rsidR="001E35C5" w:rsidRPr="001A79D4" w:rsidRDefault="001E35C5" w:rsidP="001E35C5">
      <w:pPr>
        <w:pStyle w:val="Zv-bodyreport"/>
        <w:rPr>
          <w:lang w:val="en-US"/>
        </w:rPr>
      </w:pPr>
    </w:p>
    <w:p w:rsidR="001E35C5" w:rsidRPr="001A79D4" w:rsidRDefault="001E35C5" w:rsidP="001E35C5">
      <w:pPr>
        <w:pStyle w:val="Zv-bodyreport"/>
        <w:rPr>
          <w:lang w:val="en-US"/>
        </w:rPr>
      </w:pPr>
    </w:p>
    <w:p w:rsidR="001E35C5" w:rsidRPr="001A79D4" w:rsidRDefault="001E35C5" w:rsidP="001E35C5">
      <w:pPr>
        <w:pStyle w:val="Zv-bodyreport"/>
        <w:rPr>
          <w:lang w:val="en-US"/>
        </w:rPr>
      </w:pPr>
    </w:p>
    <w:p w:rsidR="001E35C5" w:rsidRDefault="001E35C5" w:rsidP="001E35C5">
      <w:pPr>
        <w:pStyle w:val="Zv-bodyreport"/>
        <w:rPr>
          <w:lang w:val="en-US"/>
        </w:rPr>
      </w:pPr>
      <w:r>
        <w:rPr>
          <w:noProof/>
        </w:rPr>
        <w:drawing>
          <wp:inline distT="0" distB="0" distL="0" distR="0">
            <wp:extent cx="2867025" cy="178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67025" cy="1781175"/>
                    </a:xfrm>
                    <a:prstGeom prst="rect">
                      <a:avLst/>
                    </a:prstGeom>
                    <a:noFill/>
                    <a:ln w="9525">
                      <a:noFill/>
                      <a:miter lim="800000"/>
                      <a:headEnd/>
                      <a:tailEnd/>
                    </a:ln>
                  </pic:spPr>
                </pic:pic>
              </a:graphicData>
            </a:graphic>
          </wp:inline>
        </w:drawing>
      </w:r>
      <w:r>
        <w:rPr>
          <w:noProof/>
        </w:rPr>
        <w:drawing>
          <wp:inline distT="0" distB="0" distL="0" distR="0">
            <wp:extent cx="2867025" cy="1781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67025" cy="1781175"/>
                    </a:xfrm>
                    <a:prstGeom prst="rect">
                      <a:avLst/>
                    </a:prstGeom>
                    <a:noFill/>
                    <a:ln w="9525">
                      <a:noFill/>
                      <a:miter lim="800000"/>
                      <a:headEnd/>
                      <a:tailEnd/>
                    </a:ln>
                  </pic:spPr>
                </pic:pic>
              </a:graphicData>
            </a:graphic>
          </wp:inline>
        </w:drawing>
      </w:r>
    </w:p>
    <w:p w:rsidR="001E35C5" w:rsidRDefault="00EF3103" w:rsidP="001E35C5">
      <w:pPr>
        <w:pStyle w:val="Zv-bodyreport"/>
        <w:rPr>
          <w:lang w:val="en-US"/>
        </w:rPr>
      </w:pPr>
      <w:r>
        <w:rPr>
          <w:noProof/>
        </w:rPr>
        <w:pict>
          <v:shape id="_x0000_s1075" type="#_x0000_t202" style="position:absolute;left:0;text-align:left;margin-left:243pt;margin-top:7.85pt;width:234pt;height:54pt;z-index:251662336" filled="f" stroked="f">
            <v:textbox>
              <w:txbxContent>
                <w:p w:rsidR="001E35C5" w:rsidRPr="00567FA0" w:rsidRDefault="001E35C5" w:rsidP="001E35C5">
                  <w:pPr>
                    <w:rPr>
                      <w:lang w:val="en-US"/>
                    </w:rPr>
                  </w:pPr>
                  <w:r w:rsidRPr="001A79D4">
                    <w:rPr>
                      <w:lang w:val="en-US"/>
                    </w:rPr>
                    <w:t>Fig. 3. Graph of instantaneous frequency (1) and envelope of the square of the amplitude of the waveform of the microwave pulse (2)</w:t>
                  </w:r>
                </w:p>
              </w:txbxContent>
            </v:textbox>
          </v:shape>
        </w:pict>
      </w:r>
    </w:p>
    <w:p w:rsidR="001E35C5" w:rsidRDefault="00EF3103" w:rsidP="001E35C5">
      <w:pPr>
        <w:pStyle w:val="Zv-bodyreport"/>
        <w:rPr>
          <w:lang w:val="en-US"/>
        </w:rPr>
      </w:pPr>
      <w:r>
        <w:rPr>
          <w:noProof/>
        </w:rPr>
        <w:pict>
          <v:shape id="_x0000_s1074" type="#_x0000_t202" style="position:absolute;left:0;text-align:left;margin-left:27pt;margin-top:3.05pt;width:198pt;height:54pt;z-index:251661312" filled="f" stroked="f">
            <v:textbox style="mso-next-textbox:#_x0000_s1074">
              <w:txbxContent>
                <w:p w:rsidR="001E35C5" w:rsidRPr="00F73211" w:rsidRDefault="001E35C5" w:rsidP="001E35C5">
                  <w:pPr>
                    <w:rPr>
                      <w:lang w:val="en-US"/>
                    </w:rPr>
                  </w:pPr>
                  <w:r w:rsidRPr="001A79D4">
                    <w:rPr>
                      <w:lang w:val="en-US"/>
                    </w:rPr>
                    <w:t>Fig. 2. The generation spectrum for the entire duration of the recording of the waveform</w:t>
                  </w:r>
                </w:p>
              </w:txbxContent>
            </v:textbox>
          </v:shape>
        </w:pict>
      </w:r>
    </w:p>
    <w:p w:rsidR="001E35C5" w:rsidRDefault="001E35C5" w:rsidP="001E35C5">
      <w:pPr>
        <w:pStyle w:val="Zv-bodyreport"/>
        <w:rPr>
          <w:lang w:val="en-US"/>
        </w:rPr>
      </w:pPr>
    </w:p>
    <w:p w:rsidR="001E35C5" w:rsidRDefault="001E35C5" w:rsidP="001E35C5">
      <w:pPr>
        <w:pStyle w:val="Zv-bodyreport"/>
        <w:rPr>
          <w:lang w:val="en-US"/>
        </w:rPr>
      </w:pPr>
    </w:p>
    <w:p w:rsidR="001E35C5" w:rsidRDefault="001E35C5" w:rsidP="001E35C5">
      <w:pPr>
        <w:pStyle w:val="Zv-bodyreport"/>
        <w:rPr>
          <w:lang w:val="en-US"/>
        </w:rPr>
      </w:pPr>
    </w:p>
    <w:p w:rsidR="001E35C5" w:rsidRDefault="001E35C5" w:rsidP="001E35C5">
      <w:pPr>
        <w:pStyle w:val="Zv-TitleReferences-en"/>
        <w:rPr>
          <w:lang w:val="en-US"/>
        </w:rPr>
      </w:pPr>
      <w:r>
        <w:rPr>
          <w:lang w:val="en-US"/>
        </w:rPr>
        <w:t>References</w:t>
      </w:r>
    </w:p>
    <w:p w:rsidR="001E35C5" w:rsidRDefault="001E35C5" w:rsidP="001E35C5">
      <w:pPr>
        <w:pStyle w:val="Zv-References-en"/>
      </w:pPr>
      <w:r>
        <w:t xml:space="preserve">Bogdankevich </w:t>
      </w:r>
      <w:smartTag w:uri="urn:schemas:contacts" w:element="Sn">
        <w:r>
          <w:t>I.</w:t>
        </w:r>
      </w:smartTag>
      <w:r>
        <w:t xml:space="preserve">, </w:t>
      </w:r>
      <w:r w:rsidRPr="00E065D6">
        <w:t xml:space="preserve"> </w:t>
      </w:r>
      <w:smartTag w:uri="urn:schemas:contacts" w:element="Sn">
        <w:smartTag w:uri="urn:schemas-microsoft-com:office:smarttags" w:element="place">
          <w:r w:rsidRPr="00E065D6">
            <w:t>Ivanov</w:t>
          </w:r>
        </w:smartTag>
        <w:r>
          <w:t xml:space="preserve"> </w:t>
        </w:r>
        <w:smartTag w:uri="urn:schemas-microsoft-com:office:smarttags" w:element="PlaceType">
          <w:r>
            <w:t>I.</w:t>
          </w:r>
        </w:smartTag>
      </w:smartTag>
      <w:r>
        <w:t>,</w:t>
      </w:r>
      <w:r w:rsidRPr="00E065D6">
        <w:t xml:space="preserve">  Loza</w:t>
      </w:r>
      <w:r>
        <w:t xml:space="preserve"> O.</w:t>
      </w:r>
      <w:r w:rsidRPr="00E065D6">
        <w:t xml:space="preserve">, </w:t>
      </w:r>
      <w:r>
        <w:t xml:space="preserve">Rukhadze A., </w:t>
      </w:r>
      <w:r w:rsidRPr="005F68A3">
        <w:t>Strelkov P., Tarakanov V., Ulyanov</w:t>
      </w:r>
      <w:r>
        <w:t xml:space="preserve"> D.</w:t>
      </w:r>
      <w:r w:rsidRPr="00E065D6">
        <w:t xml:space="preserve">  Plasma Physics Reports, Vol. 28, No. 8, 2002, pp. 690–698.</w:t>
      </w:r>
    </w:p>
    <w:p w:rsidR="00654A7B" w:rsidRDefault="001E35C5" w:rsidP="001E35C5">
      <w:pPr>
        <w:pStyle w:val="Zv-References-en"/>
      </w:pPr>
      <w:r w:rsidRPr="001E35C5">
        <w:t>Ivanov I.E. Plasma Physics Reports, 2019, Vol. 45, No. 7, pp. 662–673.</w:t>
      </w: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8E8" w:rsidRDefault="00D458E8">
      <w:r>
        <w:separator/>
      </w:r>
    </w:p>
  </w:endnote>
  <w:endnote w:type="continuationSeparator" w:id="0">
    <w:p w:rsidR="00D458E8" w:rsidRDefault="00D45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31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31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4677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8E8" w:rsidRDefault="00D458E8">
      <w:r>
        <w:separator/>
      </w:r>
    </w:p>
  </w:footnote>
  <w:footnote w:type="continuationSeparator" w:id="0">
    <w:p w:rsidR="00D458E8" w:rsidRDefault="00D458E8">
      <w:r>
        <w:continuationSeparator/>
      </w:r>
    </w:p>
  </w:footnote>
  <w:footnote w:id="1">
    <w:p w:rsidR="0029245D" w:rsidRPr="0029245D" w:rsidRDefault="0029245D">
      <w:pPr>
        <w:pStyle w:val="a9"/>
        <w:rPr>
          <w:sz w:val="22"/>
          <w:szCs w:val="22"/>
          <w:lang w:val="en-US"/>
        </w:rPr>
      </w:pPr>
      <w:r w:rsidRPr="0029245D">
        <w:rPr>
          <w:rStyle w:val="ab"/>
          <w:sz w:val="22"/>
          <w:szCs w:val="22"/>
          <w:lang w:val="en-US"/>
        </w:rPr>
        <w:t>*)</w:t>
      </w:r>
      <w:r w:rsidRPr="0029245D">
        <w:rPr>
          <w:sz w:val="22"/>
          <w:szCs w:val="22"/>
          <w:lang w:val="en-US"/>
        </w:rPr>
        <w:t xml:space="preserve">  </w:t>
      </w:r>
      <w:hyperlink r:id="rId1" w:history="1">
        <w:r w:rsidRPr="0084677D">
          <w:rPr>
            <w:rStyle w:val="ac"/>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EF310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01E50"/>
    <w:rsid w:val="00043701"/>
    <w:rsid w:val="000C657D"/>
    <w:rsid w:val="000C7078"/>
    <w:rsid w:val="000D76E9"/>
    <w:rsid w:val="000E495B"/>
    <w:rsid w:val="001C0CCB"/>
    <w:rsid w:val="001E35C5"/>
    <w:rsid w:val="00205708"/>
    <w:rsid w:val="00220629"/>
    <w:rsid w:val="0023083F"/>
    <w:rsid w:val="00247225"/>
    <w:rsid w:val="0029245D"/>
    <w:rsid w:val="003800F3"/>
    <w:rsid w:val="003A606B"/>
    <w:rsid w:val="003B5B93"/>
    <w:rsid w:val="003E0981"/>
    <w:rsid w:val="00401388"/>
    <w:rsid w:val="00401E50"/>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4677D"/>
    <w:rsid w:val="008520F9"/>
    <w:rsid w:val="008850EF"/>
    <w:rsid w:val="00906FF7"/>
    <w:rsid w:val="00AE6185"/>
    <w:rsid w:val="00B622ED"/>
    <w:rsid w:val="00B9584E"/>
    <w:rsid w:val="00BF5CBE"/>
    <w:rsid w:val="00C103CD"/>
    <w:rsid w:val="00C232A0"/>
    <w:rsid w:val="00C5751F"/>
    <w:rsid w:val="00D458E8"/>
    <w:rsid w:val="00D47F19"/>
    <w:rsid w:val="00D900FB"/>
    <w:rsid w:val="00D92E54"/>
    <w:rsid w:val="00E118BE"/>
    <w:rsid w:val="00E7021A"/>
    <w:rsid w:val="00E87733"/>
    <w:rsid w:val="00EE371E"/>
    <w:rsid w:val="00EF07A9"/>
    <w:rsid w:val="00EF3103"/>
    <w:rsid w:val="00F32CB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5C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customStyle="1" w:styleId="Zv-bodyreport0">
    <w:name w:val="Zv-body_report Знак"/>
    <w:basedOn w:val="a0"/>
    <w:link w:val="Zv-bodyreport"/>
    <w:uiPriority w:val="99"/>
    <w:locked/>
    <w:rsid w:val="001E35C5"/>
    <w:rPr>
      <w:sz w:val="24"/>
      <w:szCs w:val="24"/>
    </w:rPr>
  </w:style>
  <w:style w:type="paragraph" w:styleId="a7">
    <w:name w:val="Balloon Text"/>
    <w:basedOn w:val="a"/>
    <w:link w:val="a8"/>
    <w:rsid w:val="001E35C5"/>
    <w:rPr>
      <w:rFonts w:ascii="Tahoma" w:hAnsi="Tahoma" w:cs="Tahoma"/>
      <w:sz w:val="16"/>
      <w:szCs w:val="16"/>
    </w:rPr>
  </w:style>
  <w:style w:type="character" w:customStyle="1" w:styleId="a8">
    <w:name w:val="Текст выноски Знак"/>
    <w:basedOn w:val="a0"/>
    <w:link w:val="a7"/>
    <w:rsid w:val="001E35C5"/>
    <w:rPr>
      <w:rFonts w:ascii="Tahoma" w:hAnsi="Tahoma" w:cs="Tahoma"/>
      <w:sz w:val="16"/>
      <w:szCs w:val="16"/>
    </w:rPr>
  </w:style>
  <w:style w:type="paragraph" w:styleId="a9">
    <w:name w:val="footnote text"/>
    <w:basedOn w:val="a"/>
    <w:link w:val="aa"/>
    <w:rsid w:val="0029245D"/>
    <w:rPr>
      <w:sz w:val="20"/>
      <w:szCs w:val="20"/>
    </w:rPr>
  </w:style>
  <w:style w:type="character" w:customStyle="1" w:styleId="aa">
    <w:name w:val="Текст сноски Знак"/>
    <w:basedOn w:val="a0"/>
    <w:link w:val="a9"/>
    <w:rsid w:val="0029245D"/>
  </w:style>
  <w:style w:type="character" w:styleId="ab">
    <w:name w:val="footnote reference"/>
    <w:basedOn w:val="a0"/>
    <w:rsid w:val="0029245D"/>
    <w:rPr>
      <w:vertAlign w:val="superscript"/>
    </w:rPr>
  </w:style>
  <w:style w:type="character" w:styleId="ac">
    <w:name w:val="Hyperlink"/>
    <w:basedOn w:val="a0"/>
    <w:rsid w:val="008467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J-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5E705-9628-4E36-9208-F8FDC98C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314</TotalTime>
  <Pages>1</Pages>
  <Words>288</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NARROWBAND GENERATION IN A PLASMA RELATIVISTIC MICROWAVE EMITTER</dc:title>
  <dc:creator>sato</dc:creator>
  <cp:lastModifiedBy>Сатунин</cp:lastModifiedBy>
  <cp:revision>4</cp:revision>
  <cp:lastPrinted>1601-01-01T00:00:00Z</cp:lastPrinted>
  <dcterms:created xsi:type="dcterms:W3CDTF">2020-02-24T11:40:00Z</dcterms:created>
  <dcterms:modified xsi:type="dcterms:W3CDTF">2020-04-28T11:18:00Z</dcterms:modified>
</cp:coreProperties>
</file>