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4A4" w:rsidRDefault="00332ACF" w:rsidP="00004AA8">
      <w:pPr>
        <w:pStyle w:val="Zv-Titlereport"/>
        <w:ind w:left="1418" w:right="1416"/>
        <w:rPr>
          <w:lang w:val="en-US"/>
        </w:rPr>
      </w:pPr>
      <w:r w:rsidRPr="00332ACF">
        <w:rPr>
          <w:noProof/>
          <w:lang w:val="en-US"/>
        </w:rPr>
        <w:pict>
          <v:shapetype id="_x0000_t202" coordsize="21600,21600" o:spt="202" path="m,l,21600r21600,l21600,xe">
            <v:stroke joinstyle="miter"/>
            <v:path gradientshapeok="t" o:connecttype="rect"/>
          </v:shapetype>
          <v:shape id="_x0000_s1037" type="#_x0000_t202" style="position:absolute;left:0;text-align:left;margin-left:-2.85pt;margin-top:-24.4pt;width:192pt;height:26.25pt;z-index:-251656192;mso-position-horizontal:absolute" stroked="f" strokecolor="red">
            <v:textbox style="mso-next-textbox:#_x0000_s1037">
              <w:txbxContent>
                <w:p w:rsidR="00332ACF" w:rsidRPr="0095603D" w:rsidRDefault="00332ACF" w:rsidP="003B6459">
                  <w:pPr>
                    <w:spacing w:before="80"/>
                    <w:rPr>
                      <w:sz w:val="22"/>
                      <w:szCs w:val="22"/>
                    </w:rPr>
                  </w:pPr>
                  <w:r w:rsidRPr="0095603D">
                    <w:rPr>
                      <w:sz w:val="22"/>
                      <w:szCs w:val="22"/>
                    </w:rPr>
                    <w:t>DOI:</w:t>
                  </w:r>
                  <w:r>
                    <w:rPr>
                      <w:sz w:val="22"/>
                      <w:szCs w:val="22"/>
                    </w:rPr>
                    <w:t xml:space="preserve"> </w:t>
                  </w:r>
                  <w:r w:rsidRPr="00332ACF">
                    <w:rPr>
                      <w:sz w:val="22"/>
                      <w:szCs w:val="22"/>
                    </w:rPr>
                    <w:t>10.34854/ICPAF.2020.47.1.152</w:t>
                  </w:r>
                </w:p>
              </w:txbxContent>
            </v:textbox>
            <w10:anchorlock/>
          </v:shape>
        </w:pict>
      </w:r>
      <w:r w:rsidR="004564A4" w:rsidRPr="00DC1754">
        <w:rPr>
          <w:lang w:val="en-US"/>
        </w:rPr>
        <w:t xml:space="preserve">FORMATION </w:t>
      </w:r>
      <w:r w:rsidR="004564A4">
        <w:rPr>
          <w:lang w:val="en-US"/>
        </w:rPr>
        <w:t xml:space="preserve">OF THE </w:t>
      </w:r>
      <w:r w:rsidR="004564A4" w:rsidRPr="00DC1754">
        <w:rPr>
          <w:lang w:val="en-US"/>
        </w:rPr>
        <w:t xml:space="preserve">POTENTIAL </w:t>
      </w:r>
      <w:r w:rsidR="004564A4">
        <w:rPr>
          <w:lang w:val="en-US"/>
        </w:rPr>
        <w:t>BY</w:t>
      </w:r>
      <w:r w:rsidR="004564A4" w:rsidRPr="00DC1754">
        <w:rPr>
          <w:lang w:val="en-US"/>
        </w:rPr>
        <w:t xml:space="preserve"> A PLASMA FLOW IN A MAGNETIC BARRIER</w:t>
      </w:r>
      <w:r w:rsidR="00004AA8">
        <w:rPr>
          <w:lang w:val="en-US"/>
        </w:rPr>
        <w:t xml:space="preserve"> </w:t>
      </w:r>
      <w:r w:rsidR="00004AA8">
        <w:rPr>
          <w:rStyle w:val="ae"/>
          <w:lang w:val="en-US"/>
        </w:rPr>
        <w:footnoteReference w:customMarkFollows="1" w:id="1"/>
        <w:t>*)</w:t>
      </w:r>
    </w:p>
    <w:p w:rsidR="004564A4" w:rsidRPr="00F43273" w:rsidRDefault="004564A4" w:rsidP="004564A4">
      <w:pPr>
        <w:pStyle w:val="Zv-Author"/>
        <w:rPr>
          <w:lang w:val="en-US"/>
        </w:rPr>
      </w:pPr>
      <w:r w:rsidRPr="004564A4">
        <w:rPr>
          <w:vertAlign w:val="superscript"/>
          <w:lang w:val="en-US"/>
        </w:rPr>
        <w:t>1</w:t>
      </w:r>
      <w:r w:rsidRPr="00F43273">
        <w:rPr>
          <w:lang w:val="en-US"/>
        </w:rPr>
        <w:t xml:space="preserve">Bardakov V.M., </w:t>
      </w:r>
      <w:r>
        <w:rPr>
          <w:vertAlign w:val="superscript"/>
          <w:lang w:val="en-US"/>
        </w:rPr>
        <w:t>2</w:t>
      </w:r>
      <w:r w:rsidRPr="00F43273">
        <w:rPr>
          <w:lang w:val="en-US"/>
        </w:rPr>
        <w:t>Kazantsev A.V</w:t>
      </w:r>
      <w:r w:rsidR="00AF5DEB">
        <w:rPr>
          <w:lang w:val="en-US"/>
        </w:rPr>
        <w:t>.</w:t>
      </w:r>
      <w:r w:rsidRPr="00F43273">
        <w:rPr>
          <w:lang w:val="en-US"/>
        </w:rPr>
        <w:t xml:space="preserve">, </w:t>
      </w:r>
      <w:r>
        <w:rPr>
          <w:vertAlign w:val="superscript"/>
          <w:lang w:val="en-US"/>
        </w:rPr>
        <w:t>2</w:t>
      </w:r>
      <w:r w:rsidRPr="00F43273">
        <w:rPr>
          <w:lang w:val="en-US"/>
        </w:rPr>
        <w:t xml:space="preserve">Nguyen The Thang, </w:t>
      </w:r>
      <w:r>
        <w:rPr>
          <w:vertAlign w:val="superscript"/>
          <w:lang w:val="en-US"/>
        </w:rPr>
        <w:t>2</w:t>
      </w:r>
      <w:r w:rsidRPr="00F43273">
        <w:rPr>
          <w:lang w:val="en-US"/>
        </w:rPr>
        <w:t xml:space="preserve">Strokin N.A., </w:t>
      </w:r>
      <w:r>
        <w:rPr>
          <w:vertAlign w:val="superscript"/>
          <w:lang w:val="en-US"/>
        </w:rPr>
        <w:t>2</w:t>
      </w:r>
      <w:r w:rsidRPr="00F43273">
        <w:rPr>
          <w:lang w:val="en-US"/>
        </w:rPr>
        <w:t>Stupin A.N.</w:t>
      </w:r>
    </w:p>
    <w:p w:rsidR="004564A4" w:rsidRDefault="004564A4" w:rsidP="004564A4">
      <w:pPr>
        <w:pStyle w:val="Zv-Organization"/>
        <w:rPr>
          <w:szCs w:val="24"/>
          <w:lang w:val="en-US"/>
        </w:rPr>
      </w:pPr>
      <w:r w:rsidRPr="004564A4">
        <w:rPr>
          <w:vertAlign w:val="superscript"/>
          <w:lang w:val="en-US"/>
        </w:rPr>
        <w:t>1</w:t>
      </w:r>
      <w:r w:rsidRPr="004564A4">
        <w:rPr>
          <w:lang w:val="en-US"/>
        </w:rPr>
        <w:t>Irkutsk</w:t>
      </w:r>
      <w:r w:rsidRPr="004B257C">
        <w:rPr>
          <w:lang w:val="en-US"/>
        </w:rPr>
        <w:t xml:space="preserve"> State Transport University</w:t>
      </w:r>
      <w:r>
        <w:rPr>
          <w:lang w:val="en-US"/>
        </w:rPr>
        <w:t>,</w:t>
      </w:r>
      <w:r w:rsidRPr="004B257C">
        <w:rPr>
          <w:lang w:val="en-US"/>
        </w:rPr>
        <w:t xml:space="preserve"> </w:t>
      </w:r>
      <w:hyperlink r:id="rId8" w:history="1">
        <w:r w:rsidRPr="00CE3320">
          <w:rPr>
            <w:rStyle w:val="a7"/>
            <w:szCs w:val="24"/>
            <w:lang w:val="en-US"/>
          </w:rPr>
          <w:t>vmbardakov38@mail.ru</w:t>
        </w:r>
      </w:hyperlink>
      <w:r w:rsidRPr="004B257C">
        <w:rPr>
          <w:lang w:val="en-US"/>
        </w:rPr>
        <w:t>,</w:t>
      </w:r>
      <w:r>
        <w:rPr>
          <w:lang w:val="en-US"/>
        </w:rPr>
        <w:br/>
      </w:r>
      <w:r w:rsidRPr="004564A4">
        <w:rPr>
          <w:vertAlign w:val="superscript"/>
          <w:lang w:val="en-US"/>
        </w:rPr>
        <w:t>2</w:t>
      </w:r>
      <w:r w:rsidRPr="004564A4">
        <w:rPr>
          <w:lang w:val="en-US"/>
        </w:rPr>
        <w:t>Irkutsk</w:t>
      </w:r>
      <w:r w:rsidRPr="004B257C">
        <w:rPr>
          <w:lang w:val="en-US"/>
        </w:rPr>
        <w:t xml:space="preserve"> National Research Technical University</w:t>
      </w:r>
      <w:r>
        <w:rPr>
          <w:lang w:val="en-US"/>
        </w:rPr>
        <w:t>,</w:t>
      </w:r>
      <w:r w:rsidRPr="004B257C">
        <w:rPr>
          <w:lang w:val="en-US"/>
        </w:rPr>
        <w:t xml:space="preserve"> </w:t>
      </w:r>
      <w:hyperlink r:id="rId9" w:history="1">
        <w:r w:rsidRPr="00CE3320">
          <w:rPr>
            <w:rStyle w:val="a7"/>
            <w:lang w:val="en-US"/>
          </w:rPr>
          <w:t>ivsd55@yandex.ru</w:t>
        </w:r>
      </w:hyperlink>
      <w:r w:rsidRPr="004B257C">
        <w:rPr>
          <w:lang w:val="en-US"/>
        </w:rPr>
        <w:t xml:space="preserve">, </w:t>
      </w:r>
      <w:hyperlink r:id="rId10" w:history="1">
        <w:r w:rsidRPr="00CE3320">
          <w:rPr>
            <w:rStyle w:val="a7"/>
            <w:szCs w:val="24"/>
            <w:lang w:val="en-US"/>
          </w:rPr>
          <w:t>kazanets@gmail.com</w:t>
        </w:r>
      </w:hyperlink>
      <w:r w:rsidRPr="004564A4">
        <w:rPr>
          <w:lang w:val="en-US"/>
        </w:rPr>
        <w:t>,</w:t>
      </w:r>
      <w:r>
        <w:rPr>
          <w:lang w:val="en-US"/>
        </w:rPr>
        <w:br/>
        <w:t xml:space="preserve">    </w:t>
      </w:r>
      <w:r w:rsidRPr="004564A4">
        <w:rPr>
          <w:lang w:val="en-US"/>
        </w:rPr>
        <w:t xml:space="preserve"> </w:t>
      </w:r>
      <w:hyperlink r:id="rId11" w:history="1">
        <w:r w:rsidRPr="00CE3320">
          <w:rPr>
            <w:rStyle w:val="a7"/>
            <w:szCs w:val="24"/>
            <w:lang w:val="en-US"/>
          </w:rPr>
          <w:t>nguen.tkhe@yandex.ru</w:t>
        </w:r>
      </w:hyperlink>
      <w:r w:rsidRPr="004564A4">
        <w:rPr>
          <w:rStyle w:val="a7"/>
          <w:color w:val="auto"/>
          <w:szCs w:val="24"/>
          <w:u w:val="none"/>
          <w:lang w:val="en-US"/>
        </w:rPr>
        <w:t xml:space="preserve">, </w:t>
      </w:r>
      <w:hyperlink r:id="rId12" w:history="1">
        <w:r w:rsidRPr="00CE3320">
          <w:rPr>
            <w:rStyle w:val="a7"/>
            <w:szCs w:val="24"/>
            <w:lang w:val="en-US"/>
          </w:rPr>
          <w:t>strokin85@inbox.ru</w:t>
        </w:r>
      </w:hyperlink>
      <w:r w:rsidRPr="004564A4">
        <w:rPr>
          <w:lang w:val="en-US"/>
        </w:rPr>
        <w:t xml:space="preserve">, </w:t>
      </w:r>
      <w:hyperlink r:id="rId13" w:history="1">
        <w:r w:rsidRPr="00CE3320">
          <w:rPr>
            <w:rStyle w:val="a7"/>
            <w:szCs w:val="24"/>
            <w:lang w:val="en-US"/>
          </w:rPr>
          <w:t>al.stupin1@yandex.ru</w:t>
        </w:r>
      </w:hyperlink>
    </w:p>
    <w:p w:rsidR="004564A4" w:rsidRPr="00490C52" w:rsidRDefault="004564A4" w:rsidP="004564A4">
      <w:pPr>
        <w:pStyle w:val="Zv-bodyreport"/>
        <w:rPr>
          <w:bCs/>
          <w:spacing w:val="-1"/>
          <w:lang w:val="en-US"/>
        </w:rPr>
      </w:pPr>
      <w:r w:rsidRPr="007C2736">
        <w:rPr>
          <w:lang w:val="en-US"/>
        </w:rPr>
        <w:t>It is important for plasm</w:t>
      </w:r>
      <w:r>
        <w:rPr>
          <w:lang w:val="en-US"/>
        </w:rPr>
        <w:t>a-</w:t>
      </w:r>
      <w:r w:rsidRPr="007C2736">
        <w:rPr>
          <w:lang w:val="en-US"/>
        </w:rPr>
        <w:t>optic</w:t>
      </w:r>
      <w:r>
        <w:rPr>
          <w:lang w:val="en-US"/>
        </w:rPr>
        <w:t>al</w:t>
      </w:r>
      <w:r w:rsidRPr="007C2736">
        <w:rPr>
          <w:lang w:val="en-US"/>
        </w:rPr>
        <w:t xml:space="preserve"> mass separation to ensure high performance, which is determined by the performance of the plasma source and is limited by losses in the transverse magnetic field of the azimuthator (</w:t>
      </w:r>
      <w:r>
        <w:rPr>
          <w:lang w:val="en-US"/>
        </w:rPr>
        <w:t>MB</w:t>
      </w:r>
      <w:r w:rsidRPr="007C2736">
        <w:rPr>
          <w:lang w:val="en-US"/>
        </w:rPr>
        <w:t xml:space="preserve">), which is one of the elements of the POMS-E-3 mass separator [1]. If only a stream of ions with an average energy </w:t>
      </w:r>
      <w:r w:rsidRPr="0069203D">
        <w:rPr>
          <w:position w:val="-12"/>
        </w:rPr>
        <w:object w:dxaOrig="13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18.75pt" o:ole="">
            <v:imagedata r:id="rId14" o:title=""/>
          </v:shape>
          <o:OLEObject Type="Embed" ProgID="Equation.DSMT4" ShapeID="_x0000_i1025" DrawAspect="Content" ObjectID="_1649587405" r:id="rId15"/>
        </w:object>
      </w:r>
      <w:r w:rsidRPr="007C2736">
        <w:rPr>
          <w:lang w:val="en-US"/>
        </w:rPr>
        <w:t xml:space="preserve">moves in the MB, the maximum ion density </w:t>
      </w:r>
      <w:r w:rsidRPr="007C2736">
        <w:rPr>
          <w:i/>
          <w:lang w:val="en-US"/>
        </w:rPr>
        <w:t>N</w:t>
      </w:r>
      <w:r w:rsidRPr="007C2736">
        <w:rPr>
          <w:vertAlign w:val="subscript"/>
          <w:lang w:val="en-US"/>
        </w:rPr>
        <w:t>1</w:t>
      </w:r>
      <w:r w:rsidRPr="007C2736">
        <w:rPr>
          <w:lang w:val="en-US"/>
        </w:rPr>
        <w:t xml:space="preserve"> at the exit from the MB is</w:t>
      </w:r>
      <w:r>
        <w:rPr>
          <w:lang w:val="en-US"/>
        </w:rPr>
        <w:t xml:space="preserve"> </w:t>
      </w:r>
      <w:r w:rsidRPr="0069203D">
        <w:rPr>
          <w:position w:val="-24"/>
        </w:rPr>
        <w:object w:dxaOrig="1060" w:dyaOrig="620">
          <v:shape id="_x0000_i1026" type="#_x0000_t75" style="width:53.25pt;height:31.5pt" o:ole="">
            <v:imagedata r:id="rId16" o:title=""/>
          </v:shape>
          <o:OLEObject Type="Embed" ProgID="Equation.DSMT4" ShapeID="_x0000_i1026" DrawAspect="Content" ObjectID="_1649587406" r:id="rId17"/>
        </w:object>
      </w:r>
      <w:r w:rsidRPr="007C2736">
        <w:rPr>
          <w:lang w:val="en-US"/>
        </w:rPr>
        <w:t xml:space="preserve">, where </w:t>
      </w:r>
      <w:r w:rsidRPr="00A033B1">
        <w:rPr>
          <w:i/>
          <w:lang w:val="en-US"/>
        </w:rPr>
        <w:t>A</w:t>
      </w:r>
      <w:r w:rsidRPr="007C2736">
        <w:rPr>
          <w:lang w:val="en-US"/>
        </w:rPr>
        <w:t xml:space="preserve"> is a constant; Δ is the width of the gap across the magnetic field </w:t>
      </w:r>
      <w:r w:rsidRPr="00657961">
        <w:rPr>
          <w:i/>
          <w:lang w:val="en-US"/>
        </w:rPr>
        <w:t>B</w:t>
      </w:r>
      <w:r w:rsidRPr="007C2736">
        <w:rPr>
          <w:lang w:val="en-US"/>
        </w:rPr>
        <w:t xml:space="preserve"> [2]. Diffusion of electrons in a transverse magnetic field is possible in collisions with neutrals and anomalous diffusion. In this paper, the limitation of the density of ions in the case of the classical electron diffusion mechanism is investigated. The determining factor is the distribution of potential in MB, for which the following equation is obtained:</w:t>
      </w:r>
      <w:r>
        <w:rPr>
          <w:lang w:val="en-US"/>
        </w:rPr>
        <w:t xml:space="preserve"> </w:t>
      </w:r>
      <w:r w:rsidRPr="0069203D">
        <w:rPr>
          <w:bCs/>
          <w:spacing w:val="-1"/>
          <w:position w:val="-30"/>
        </w:rPr>
        <w:object w:dxaOrig="3780" w:dyaOrig="780">
          <v:shape id="_x0000_i1027" type="#_x0000_t75" style="width:188.25pt;height:39pt" o:ole="">
            <v:imagedata r:id="rId18" o:title=""/>
          </v:shape>
          <o:OLEObject Type="Embed" ProgID="Equation.DSMT4" ShapeID="_x0000_i1027" DrawAspect="Content" ObjectID="_1649587407" r:id="rId19"/>
        </w:object>
      </w:r>
      <w:r>
        <w:rPr>
          <w:bCs/>
          <w:spacing w:val="-1"/>
          <w:lang w:val="en-US"/>
        </w:rPr>
        <w:t xml:space="preserve">, </w:t>
      </w:r>
      <w:r w:rsidRPr="00490C52">
        <w:rPr>
          <w:bCs/>
          <w:spacing w:val="-1"/>
          <w:lang w:val="en-US"/>
        </w:rPr>
        <w:t>where</w:t>
      </w:r>
      <w:r>
        <w:rPr>
          <w:bCs/>
          <w:spacing w:val="-1"/>
          <w:lang w:val="en-US"/>
        </w:rPr>
        <w:t xml:space="preserve"> </w:t>
      </w:r>
      <w:r w:rsidRPr="0069203D">
        <w:rPr>
          <w:position w:val="-12"/>
        </w:rPr>
        <w:object w:dxaOrig="1160" w:dyaOrig="360">
          <v:shape id="_x0000_i1028" type="#_x0000_t75" style="width:59.25pt;height:18.75pt" o:ole="">
            <v:imagedata r:id="rId20" o:title=""/>
          </v:shape>
          <o:OLEObject Type="Embed" ProgID="Equation.DSMT4" ShapeID="_x0000_i1028" DrawAspect="Content" ObjectID="_1649587408" r:id="rId21"/>
        </w:object>
      </w:r>
      <w:r w:rsidRPr="00490C52">
        <w:rPr>
          <w:bCs/>
          <w:spacing w:val="-1"/>
          <w:lang w:val="en-US"/>
        </w:rPr>
        <w:t xml:space="preserve"> is the dimensionless potential; </w:t>
      </w:r>
      <w:r w:rsidRPr="0069203D">
        <w:rPr>
          <w:position w:val="-10"/>
        </w:rPr>
        <w:object w:dxaOrig="880" w:dyaOrig="320">
          <v:shape id="_x0000_i1029" type="#_x0000_t75" style="width:43.5pt;height:15.75pt" o:ole="">
            <v:imagedata r:id="rId22" o:title=""/>
          </v:shape>
          <o:OLEObject Type="Embed" ProgID="Equation.DSMT4" ShapeID="_x0000_i1029" DrawAspect="Content" ObjectID="_1649587409" r:id="rId23"/>
        </w:object>
      </w:r>
      <w:r>
        <w:rPr>
          <w:lang w:val="en-US"/>
        </w:rPr>
        <w:t xml:space="preserve"> </w:t>
      </w:r>
      <w:r>
        <w:rPr>
          <w:bCs/>
          <w:spacing w:val="-1"/>
          <w:lang w:val="en-US"/>
        </w:rPr>
        <w:t>–</w:t>
      </w:r>
      <w:r w:rsidRPr="00490C52">
        <w:rPr>
          <w:bCs/>
          <w:spacing w:val="-1"/>
          <w:lang w:val="en-US"/>
        </w:rPr>
        <w:t xml:space="preserve"> coordinate across the field; </w:t>
      </w:r>
      <w:r w:rsidRPr="00490C52">
        <w:rPr>
          <w:bCs/>
          <w:i/>
          <w:spacing w:val="-1"/>
          <w:lang w:val="en-US"/>
        </w:rPr>
        <w:t>g</w:t>
      </w:r>
      <w:r w:rsidRPr="00490C52">
        <w:rPr>
          <w:bCs/>
          <w:spacing w:val="-1"/>
          <w:lang w:val="en-US"/>
        </w:rPr>
        <w:t xml:space="preserve"> and </w:t>
      </w:r>
      <w:r w:rsidRPr="00490C52">
        <w:rPr>
          <w:bCs/>
          <w:i/>
          <w:spacing w:val="-1"/>
          <w:lang w:val="en-US"/>
        </w:rPr>
        <w:t xml:space="preserve">f </w:t>
      </w:r>
      <w:r w:rsidRPr="00490C52">
        <w:rPr>
          <w:bCs/>
          <w:spacing w:val="-1"/>
          <w:lang w:val="en-US"/>
        </w:rPr>
        <w:t>are known potential functions;</w:t>
      </w:r>
      <w:r>
        <w:rPr>
          <w:bCs/>
          <w:spacing w:val="-1"/>
          <w:lang w:val="en-US"/>
        </w:rPr>
        <w:t xml:space="preserve"> </w:t>
      </w:r>
      <w:r w:rsidRPr="0069203D">
        <w:rPr>
          <w:position w:val="-30"/>
        </w:rPr>
        <w:object w:dxaOrig="1740" w:dyaOrig="720">
          <v:shape id="_x0000_i1030" type="#_x0000_t75" style="width:87pt;height:36pt" o:ole="">
            <v:imagedata r:id="rId24" o:title=""/>
          </v:shape>
          <o:OLEObject Type="Embed" ProgID="Equation.DSMT4" ShapeID="_x0000_i1030" DrawAspect="Content" ObjectID="_1649587410" r:id="rId25"/>
        </w:object>
      </w:r>
      <w:r>
        <w:rPr>
          <w:lang w:val="en-US"/>
        </w:rPr>
        <w:t>;</w:t>
      </w:r>
      <w:r w:rsidRPr="00490C52">
        <w:rPr>
          <w:bCs/>
          <w:spacing w:val="-1"/>
          <w:lang w:val="en-US"/>
        </w:rPr>
        <w:t xml:space="preserve"> </w:t>
      </w:r>
      <w:r w:rsidRPr="00490C52">
        <w:rPr>
          <w:bCs/>
          <w:i/>
          <w:spacing w:val="-1"/>
          <w:lang w:val="en-US"/>
        </w:rPr>
        <w:t>K</w:t>
      </w:r>
      <w:r w:rsidRPr="00490C52">
        <w:rPr>
          <w:bCs/>
          <w:spacing w:val="-1"/>
          <w:lang w:val="en-US"/>
        </w:rPr>
        <w:t xml:space="preserve"> is a constant; </w:t>
      </w:r>
      <w:r w:rsidRPr="00490C52">
        <w:rPr>
          <w:bCs/>
          <w:i/>
          <w:spacing w:val="-1"/>
        </w:rPr>
        <w:t>σ</w:t>
      </w:r>
      <w:r w:rsidRPr="00490C52">
        <w:rPr>
          <w:bCs/>
          <w:i/>
          <w:spacing w:val="-1"/>
          <w:vertAlign w:val="subscript"/>
          <w:lang w:val="en-US"/>
        </w:rPr>
        <w:t>ea</w:t>
      </w:r>
      <w:r w:rsidRPr="00490C52">
        <w:rPr>
          <w:bCs/>
          <w:spacing w:val="-1"/>
          <w:lang w:val="en-US"/>
        </w:rPr>
        <w:t xml:space="preserve"> is the cross section of elastic electron collisions on neutrals; </w:t>
      </w:r>
      <w:r w:rsidRPr="00490C52">
        <w:rPr>
          <w:bCs/>
          <w:i/>
          <w:spacing w:val="-1"/>
          <w:lang w:val="en-US"/>
        </w:rPr>
        <w:t>n</w:t>
      </w:r>
      <w:r w:rsidRPr="00490C52">
        <w:rPr>
          <w:bCs/>
          <w:i/>
          <w:spacing w:val="-1"/>
          <w:vertAlign w:val="subscript"/>
          <w:lang w:val="en-US"/>
        </w:rPr>
        <w:t>a</w:t>
      </w:r>
      <w:r w:rsidRPr="00490C52">
        <w:rPr>
          <w:bCs/>
          <w:spacing w:val="-1"/>
          <w:lang w:val="en-US"/>
        </w:rPr>
        <w:t xml:space="preserve"> is the density of the neutral gas; </w:t>
      </w:r>
      <w:r w:rsidRPr="00490C52">
        <w:rPr>
          <w:bCs/>
          <w:i/>
          <w:spacing w:val="-1"/>
          <w:lang w:val="en-US"/>
        </w:rPr>
        <w:t>n</w:t>
      </w:r>
      <w:r w:rsidRPr="00490C52">
        <w:rPr>
          <w:bCs/>
          <w:spacing w:val="-1"/>
          <w:vertAlign w:val="subscript"/>
          <w:lang w:val="en-US"/>
        </w:rPr>
        <w:t>0</w:t>
      </w:r>
      <w:r w:rsidRPr="00490C52">
        <w:rPr>
          <w:bCs/>
          <w:spacing w:val="-1"/>
          <w:lang w:val="en-US"/>
        </w:rPr>
        <w:t xml:space="preserve"> is the plasma density at the entrance to the MB; </w:t>
      </w:r>
      <w:r w:rsidRPr="00490C52">
        <w:rPr>
          <w:bCs/>
          <w:i/>
          <w:spacing w:val="-1"/>
          <w:lang w:val="en-US"/>
        </w:rPr>
        <w:sym w:font="Symbol" w:char="F077"/>
      </w:r>
      <w:r w:rsidRPr="00490C52">
        <w:rPr>
          <w:bCs/>
          <w:i/>
          <w:spacing w:val="-1"/>
          <w:vertAlign w:val="subscript"/>
          <w:lang w:val="en-US"/>
        </w:rPr>
        <w:t>Be</w:t>
      </w:r>
      <w:r w:rsidRPr="00490C52">
        <w:rPr>
          <w:bCs/>
          <w:spacing w:val="-1"/>
          <w:lang w:val="en-US"/>
        </w:rPr>
        <w:t xml:space="preserve"> = </w:t>
      </w:r>
      <w:r w:rsidRPr="00490C52">
        <w:rPr>
          <w:bCs/>
          <w:i/>
          <w:spacing w:val="-1"/>
          <w:lang w:val="en-US"/>
        </w:rPr>
        <w:t>qB</w:t>
      </w:r>
      <w:r w:rsidRPr="00490C52">
        <w:rPr>
          <w:bCs/>
          <w:spacing w:val="-1"/>
          <w:lang w:val="en-US"/>
        </w:rPr>
        <w:t>/</w:t>
      </w:r>
      <w:r w:rsidRPr="00490C52">
        <w:rPr>
          <w:bCs/>
          <w:i/>
          <w:spacing w:val="-1"/>
          <w:lang w:val="en-US"/>
        </w:rPr>
        <w:t>m</w:t>
      </w:r>
      <w:r w:rsidRPr="00490C52">
        <w:rPr>
          <w:bCs/>
          <w:spacing w:val="-1"/>
          <w:lang w:val="en-US"/>
        </w:rPr>
        <w:t xml:space="preserve"> is the electron cyclotron frequency.</w:t>
      </w:r>
    </w:p>
    <w:p w:rsidR="004564A4" w:rsidRDefault="004564A4" w:rsidP="004564A4">
      <w:pPr>
        <w:pStyle w:val="Zv-bodyreport"/>
        <w:rPr>
          <w:lang w:val="en-US"/>
        </w:rPr>
      </w:pPr>
      <w:r w:rsidRPr="00490C52">
        <w:rPr>
          <w:lang w:val="en-US"/>
        </w:rPr>
        <w:t>The plasma potential inside the MB has a decisive effect on the movement of ions. In Fig</w:t>
      </w:r>
      <w:r>
        <w:rPr>
          <w:lang w:val="en-US"/>
        </w:rPr>
        <w:t>.</w:t>
      </w:r>
      <w:r w:rsidRPr="00490C52">
        <w:rPr>
          <w:lang w:val="en-US"/>
        </w:rPr>
        <w:t xml:space="preserve"> 1 shows the distribution of the dimensionless potential </w:t>
      </w:r>
      <w:r w:rsidRPr="00490C52">
        <w:rPr>
          <w:i/>
          <w:lang w:val="en-US"/>
        </w:rPr>
        <w:sym w:font="Symbol" w:char="F079"/>
      </w:r>
      <w:r w:rsidRPr="00490C52">
        <w:rPr>
          <w:lang w:val="en-US"/>
        </w:rPr>
        <w:t xml:space="preserve"> = </w:t>
      </w:r>
      <w:r w:rsidRPr="00490C52">
        <w:rPr>
          <w:i/>
          <w:lang w:val="en-US"/>
        </w:rPr>
        <w:t>q</w:t>
      </w:r>
      <w:r w:rsidRPr="00490C52">
        <w:rPr>
          <w:i/>
        </w:rPr>
        <w:t>φ</w:t>
      </w:r>
      <w:r w:rsidRPr="00490C52">
        <w:rPr>
          <w:lang w:val="en-US"/>
        </w:rPr>
        <w:t>/</w:t>
      </w:r>
      <w:r w:rsidRPr="00490C52">
        <w:rPr>
          <w:i/>
          <w:lang w:val="en-US"/>
        </w:rPr>
        <w:t>W</w:t>
      </w:r>
      <w:r w:rsidRPr="00490C52">
        <w:rPr>
          <w:vertAlign w:val="subscript"/>
          <w:lang w:val="en-US"/>
        </w:rPr>
        <w:t>0</w:t>
      </w:r>
      <w:r w:rsidRPr="00490C52">
        <w:rPr>
          <w:lang w:val="en-US"/>
        </w:rPr>
        <w:t xml:space="preserve"> in the interval </w:t>
      </w:r>
      <w:r w:rsidRPr="00490C52">
        <w:t>Δ</w:t>
      </w:r>
      <w:r w:rsidRPr="00490C52">
        <w:rPr>
          <w:lang w:val="en-US"/>
        </w:rPr>
        <w:t xml:space="preserve"> obtained by solving the equation for the potential.</w:t>
      </w:r>
    </w:p>
    <w:p w:rsidR="004564A4" w:rsidRDefault="006B3ADE" w:rsidP="004564A4">
      <w:pPr>
        <w:pStyle w:val="Zv-bodyreport"/>
        <w:rPr>
          <w:lang w:val="en-US"/>
        </w:rPr>
      </w:pPr>
      <w:r w:rsidRPr="006B3ADE">
        <w:rPr>
          <w:noProof/>
          <w:lang w:val="en-US" w:eastAsia="en-US"/>
        </w:rPr>
        <w:pict>
          <v:shape id="_x0000_s1026" type="#_x0000_t202" style="position:absolute;left:0;text-align:left;margin-left:278.2pt;margin-top:161.15pt;width:199.55pt;height:36.35pt;z-index:-251658240;mso-height-percent:200;mso-height-percent:200;mso-width-relative:margin;mso-height-relative:margin" stroked="f">
            <v:textbox style="mso-fit-shape-to-text:t">
              <w:txbxContent>
                <w:p w:rsidR="004564A4" w:rsidRPr="004564A4" w:rsidRDefault="004564A4">
                  <w:pPr>
                    <w:rPr>
                      <w:sz w:val="22"/>
                      <w:szCs w:val="22"/>
                      <w:lang w:val="en-US"/>
                    </w:rPr>
                  </w:pPr>
                  <w:r w:rsidRPr="004564A4">
                    <w:rPr>
                      <w:sz w:val="22"/>
                      <w:szCs w:val="22"/>
                      <w:lang w:val="en-US"/>
                    </w:rPr>
                    <w:t>Fig. 1. Potential distribution for various values of the parameter G     (</w:t>
                  </w:r>
                  <w:r w:rsidRPr="004564A4">
                    <w:rPr>
                      <w:position w:val="-10"/>
                      <w:sz w:val="22"/>
                      <w:szCs w:val="22"/>
                    </w:rPr>
                    <w:object w:dxaOrig="880" w:dyaOrig="320">
                      <v:shape id="_x0000_i1032" type="#_x0000_t75" style="width:43.5pt;height:15.75pt" o:ole="">
                        <v:imagedata r:id="rId26" o:title=""/>
                      </v:shape>
                      <o:OLEObject Type="Embed" ProgID="Equation.DSMT4" ShapeID="_x0000_i1032" DrawAspect="Content" ObjectID="_1649587412" r:id="rId27"/>
                    </w:object>
                  </w:r>
                  <w:r w:rsidRPr="004564A4">
                    <w:rPr>
                      <w:sz w:val="22"/>
                      <w:szCs w:val="22"/>
                      <w:lang w:val="en-US"/>
                    </w:rPr>
                    <w:t>).</w:t>
                  </w:r>
                </w:p>
              </w:txbxContent>
            </v:textbox>
            <w10:anchorlock/>
          </v:shape>
        </w:pict>
      </w:r>
      <w:r w:rsidR="004564A4">
        <w:rPr>
          <w:noProof/>
        </w:rPr>
        <w:drawing>
          <wp:anchor distT="0" distB="0" distL="114300" distR="114300" simplePos="0" relativeHeight="251657216" behindDoc="0" locked="1" layoutInCell="1" allowOverlap="1">
            <wp:simplePos x="0" y="0"/>
            <wp:positionH relativeFrom="column">
              <wp:posOffset>3594735</wp:posOffset>
            </wp:positionH>
            <wp:positionV relativeFrom="paragraph">
              <wp:posOffset>-86995</wp:posOffset>
            </wp:positionV>
            <wp:extent cx="2524125" cy="2114550"/>
            <wp:effectExtent l="19050" t="0" r="9525" b="0"/>
            <wp:wrapSquare wrapText="bothSides"/>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9">
                              <a14:imgEffect>
                                <a14:sharpenSoften amount="50000"/>
                              </a14:imgEffect>
                              <a14:imgEffect>
                                <a14:brightnessContrast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4125" cy="2114550"/>
                    </a:xfrm>
                    <a:prstGeom prst="rect">
                      <a:avLst/>
                    </a:prstGeom>
                    <a:noFill/>
                    <a:ln>
                      <a:noFill/>
                    </a:ln>
                  </pic:spPr>
                </pic:pic>
              </a:graphicData>
            </a:graphic>
          </wp:anchor>
        </w:drawing>
      </w:r>
      <w:r w:rsidR="004564A4" w:rsidRPr="003B7671">
        <w:rPr>
          <w:lang w:val="en-US"/>
        </w:rPr>
        <w:t xml:space="preserve">If the parameter </w:t>
      </w:r>
      <w:r w:rsidR="004564A4" w:rsidRPr="003B7671">
        <w:rPr>
          <w:i/>
          <w:lang w:val="en-US"/>
        </w:rPr>
        <w:t>G</w:t>
      </w:r>
      <w:r w:rsidR="004564A4" w:rsidRPr="003B7671">
        <w:rPr>
          <w:lang w:val="en-US"/>
        </w:rPr>
        <w:t xml:space="preserve"> ≥ </w:t>
      </w:r>
      <w:r w:rsidR="004564A4" w:rsidRPr="003B7671">
        <w:rPr>
          <w:i/>
          <w:lang w:val="en-US"/>
        </w:rPr>
        <w:t>G</w:t>
      </w:r>
      <w:r w:rsidR="004564A4" w:rsidRPr="003B7671">
        <w:rPr>
          <w:i/>
          <w:vertAlign w:val="subscript"/>
          <w:lang w:val="en-US"/>
        </w:rPr>
        <w:t>cr</w:t>
      </w:r>
      <w:r w:rsidR="004564A4" w:rsidRPr="003B7671">
        <w:rPr>
          <w:lang w:val="en-US"/>
        </w:rPr>
        <w:t xml:space="preserve"> ≈ 1.07, then in the entire interval of the azimuthator quasi-neutrality is preserved, and the maximum possible density of ions </w:t>
      </w:r>
      <w:r w:rsidR="004564A4" w:rsidRPr="003B7671">
        <w:rPr>
          <w:i/>
          <w:lang w:val="en-US"/>
        </w:rPr>
        <w:t>N</w:t>
      </w:r>
      <w:r w:rsidR="004564A4" w:rsidRPr="003B7671">
        <w:rPr>
          <w:lang w:val="en-US"/>
        </w:rPr>
        <w:t xml:space="preserve"> at the exit from the azimuthator in the regime </w:t>
      </w:r>
      <w:r w:rsidR="004564A4" w:rsidRPr="003B7671">
        <w:rPr>
          <w:i/>
          <w:lang w:val="en-US"/>
        </w:rPr>
        <w:t>G</w:t>
      </w:r>
      <w:r w:rsidR="004564A4" w:rsidRPr="003B7671">
        <w:rPr>
          <w:lang w:val="en-US"/>
        </w:rPr>
        <w:t xml:space="preserve"> ≥ </w:t>
      </w:r>
      <w:r w:rsidR="004564A4" w:rsidRPr="003B7671">
        <w:rPr>
          <w:i/>
          <w:lang w:val="en-US"/>
        </w:rPr>
        <w:t>G</w:t>
      </w:r>
      <w:r w:rsidR="004564A4" w:rsidRPr="003B7671">
        <w:rPr>
          <w:i/>
          <w:vertAlign w:val="subscript"/>
          <w:lang w:val="en-US"/>
        </w:rPr>
        <w:t>cr</w:t>
      </w:r>
      <w:r w:rsidR="004564A4" w:rsidRPr="003B7671">
        <w:rPr>
          <w:lang w:val="en-US"/>
        </w:rPr>
        <w:t xml:space="preserve"> is determined as follows:</w:t>
      </w:r>
      <w:r w:rsidR="004564A4">
        <w:rPr>
          <w:lang w:val="en-US"/>
        </w:rPr>
        <w:t xml:space="preserve"> </w:t>
      </w:r>
      <w:r w:rsidR="004564A4" w:rsidRPr="009C6805">
        <w:rPr>
          <w:position w:val="-30"/>
        </w:rPr>
        <w:object w:dxaOrig="1860" w:dyaOrig="720">
          <v:shape id="_x0000_i1033" type="#_x0000_t75" style="width:93pt;height:36pt" o:ole="">
            <v:imagedata r:id="rId30" o:title=""/>
          </v:shape>
          <o:OLEObject Type="Embed" ProgID="Equation.DSMT4" ShapeID="_x0000_i1033" DrawAspect="Content" ObjectID="_1649587411" r:id="rId31"/>
        </w:object>
      </w:r>
      <w:r w:rsidR="004564A4" w:rsidRPr="003B7671">
        <w:rPr>
          <w:lang w:val="en-US"/>
        </w:rPr>
        <w:t>. For the experimental condition</w:t>
      </w:r>
      <w:r w:rsidR="004564A4">
        <w:rPr>
          <w:lang w:val="en-US"/>
        </w:rPr>
        <w:t xml:space="preserve">s at POMS-E-3, </w:t>
      </w:r>
      <w:r w:rsidR="004564A4" w:rsidRPr="005B338B">
        <w:rPr>
          <w:i/>
          <w:lang w:val="en-US"/>
        </w:rPr>
        <w:t>W</w:t>
      </w:r>
      <w:r w:rsidR="004564A4" w:rsidRPr="005B338B">
        <w:rPr>
          <w:vertAlign w:val="subscript"/>
          <w:lang w:val="en-US"/>
        </w:rPr>
        <w:t>0</w:t>
      </w:r>
      <w:r w:rsidR="004564A4" w:rsidRPr="005B338B">
        <w:rPr>
          <w:lang w:val="en-US"/>
        </w:rPr>
        <w:t xml:space="preserve"> =</w:t>
      </w:r>
      <w:r w:rsidR="004564A4" w:rsidRPr="003B7671">
        <w:rPr>
          <w:lang w:val="en-US"/>
        </w:rPr>
        <w:t xml:space="preserve"> 500 eV; </w:t>
      </w:r>
      <w:r w:rsidR="004564A4" w:rsidRPr="003B7671">
        <w:rPr>
          <w:i/>
          <w:lang w:val="en-US"/>
        </w:rPr>
        <w:t>n</w:t>
      </w:r>
      <w:r w:rsidR="004564A4" w:rsidRPr="003B7671">
        <w:rPr>
          <w:i/>
          <w:vertAlign w:val="subscript"/>
          <w:lang w:val="en-US"/>
        </w:rPr>
        <w:t>a</w:t>
      </w:r>
      <w:r w:rsidR="004564A4">
        <w:rPr>
          <w:lang w:val="en-US"/>
        </w:rPr>
        <w:t> </w:t>
      </w:r>
      <w:r w:rsidR="004564A4" w:rsidRPr="003B7671">
        <w:rPr>
          <w:lang w:val="en-US"/>
        </w:rPr>
        <w:t>= 10</w:t>
      </w:r>
      <w:r w:rsidR="004564A4" w:rsidRPr="003B7671">
        <w:rPr>
          <w:vertAlign w:val="superscript"/>
          <w:lang w:val="en-US"/>
        </w:rPr>
        <w:t>17</w:t>
      </w:r>
      <w:r w:rsidR="004564A4" w:rsidRPr="003B7671">
        <w:rPr>
          <w:lang w:val="en-US"/>
        </w:rPr>
        <w:t xml:space="preserve"> m</w:t>
      </w:r>
      <w:r w:rsidR="004564A4" w:rsidRPr="003B7671">
        <w:rPr>
          <w:vertAlign w:val="superscript"/>
          <w:lang w:val="en-US"/>
        </w:rPr>
        <w:t>–3</w:t>
      </w:r>
      <w:r w:rsidR="004564A4" w:rsidRPr="003B7671">
        <w:rPr>
          <w:lang w:val="en-US"/>
        </w:rPr>
        <w:t xml:space="preserve">; </w:t>
      </w:r>
      <w:r w:rsidR="004564A4" w:rsidRPr="003B7671">
        <w:rPr>
          <w:i/>
          <w:lang w:val="en-US"/>
        </w:rPr>
        <w:t>B</w:t>
      </w:r>
      <w:r w:rsidR="004564A4" w:rsidRPr="003B7671">
        <w:rPr>
          <w:lang w:val="en-US"/>
        </w:rPr>
        <w:t xml:space="preserve"> = 0.2 T; </w:t>
      </w:r>
      <w:r w:rsidR="004564A4" w:rsidRPr="003B7671">
        <w:rPr>
          <w:i/>
          <w:lang w:val="en-US"/>
        </w:rPr>
        <w:t>σ</w:t>
      </w:r>
      <w:r w:rsidR="004564A4" w:rsidRPr="003B7671">
        <w:rPr>
          <w:i/>
          <w:vertAlign w:val="subscript"/>
          <w:lang w:val="en-US"/>
        </w:rPr>
        <w:t>ea</w:t>
      </w:r>
      <w:r w:rsidR="004564A4" w:rsidRPr="003B7671">
        <w:rPr>
          <w:lang w:val="en-US"/>
        </w:rPr>
        <w:t xml:space="preserve"> = 24·10</w:t>
      </w:r>
      <w:r w:rsidR="004564A4" w:rsidRPr="003B7671">
        <w:rPr>
          <w:vertAlign w:val="superscript"/>
          <w:lang w:val="en-US"/>
        </w:rPr>
        <w:t>–20</w:t>
      </w:r>
      <w:r w:rsidR="004564A4" w:rsidRPr="003B7671">
        <w:rPr>
          <w:lang w:val="en-US"/>
        </w:rPr>
        <w:t xml:space="preserve"> m</w:t>
      </w:r>
      <w:r w:rsidR="004564A4" w:rsidRPr="003B7671">
        <w:rPr>
          <w:vertAlign w:val="superscript"/>
          <w:lang w:val="en-US"/>
        </w:rPr>
        <w:t>–2</w:t>
      </w:r>
      <w:r w:rsidR="004564A4" w:rsidRPr="003B7671">
        <w:rPr>
          <w:lang w:val="en-US"/>
        </w:rPr>
        <w:t xml:space="preserve">; </w:t>
      </w:r>
      <w:r w:rsidR="004564A4">
        <w:rPr>
          <w:lang w:val="en-US"/>
        </w:rPr>
        <w:sym w:font="Symbol" w:char="F044"/>
      </w:r>
      <w:r w:rsidR="004564A4">
        <w:rPr>
          <w:lang w:val="en-US"/>
        </w:rPr>
        <w:t xml:space="preserve"> </w:t>
      </w:r>
      <w:r w:rsidR="004564A4" w:rsidRPr="003B7671">
        <w:rPr>
          <w:lang w:val="en-US"/>
        </w:rPr>
        <w:t xml:space="preserve">= </w:t>
      </w:r>
      <w:r w:rsidR="004564A4" w:rsidRPr="005B338B">
        <w:rPr>
          <w:lang w:val="en-US"/>
        </w:rPr>
        <w:t xml:space="preserve">0.01 m and </w:t>
      </w:r>
      <w:r w:rsidR="004564A4" w:rsidRPr="005B338B">
        <w:rPr>
          <w:i/>
          <w:lang w:val="en-US"/>
        </w:rPr>
        <w:t>N</w:t>
      </w:r>
      <w:r w:rsidR="004564A4" w:rsidRPr="005B338B">
        <w:rPr>
          <w:lang w:val="en-US"/>
        </w:rPr>
        <w:t xml:space="preserve"> = 4.75·10</w:t>
      </w:r>
      <w:r w:rsidR="004564A4" w:rsidRPr="005B338B">
        <w:rPr>
          <w:vertAlign w:val="superscript"/>
          <w:lang w:val="en-US"/>
        </w:rPr>
        <w:t>17</w:t>
      </w:r>
      <w:r w:rsidR="004564A4" w:rsidRPr="005B338B">
        <w:rPr>
          <w:lang w:val="en-US"/>
        </w:rPr>
        <w:t xml:space="preserve"> m</w:t>
      </w:r>
      <w:r w:rsidR="004564A4" w:rsidRPr="005B338B">
        <w:rPr>
          <w:vertAlign w:val="superscript"/>
          <w:lang w:val="en-US"/>
        </w:rPr>
        <w:t>–3</w:t>
      </w:r>
      <w:r w:rsidR="004564A4" w:rsidRPr="005B338B">
        <w:rPr>
          <w:lang w:val="en-US"/>
        </w:rPr>
        <w:t xml:space="preserve">, with </w:t>
      </w:r>
      <w:r w:rsidR="004564A4" w:rsidRPr="005B338B">
        <w:rPr>
          <w:i/>
          <w:lang w:val="en-US"/>
        </w:rPr>
        <w:t>N</w:t>
      </w:r>
      <w:r w:rsidR="004564A4" w:rsidRPr="005B338B">
        <w:rPr>
          <w:lang w:val="en-US"/>
        </w:rPr>
        <w:t xml:space="preserve"> &gt;&gt; </w:t>
      </w:r>
      <w:r w:rsidR="004564A4" w:rsidRPr="005B338B">
        <w:rPr>
          <w:i/>
          <w:lang w:val="en-US"/>
        </w:rPr>
        <w:t>N</w:t>
      </w:r>
      <w:r w:rsidR="004564A4" w:rsidRPr="005B338B">
        <w:rPr>
          <w:vertAlign w:val="subscript"/>
          <w:lang w:val="en-US"/>
        </w:rPr>
        <w:t>1</w:t>
      </w:r>
      <w:r w:rsidR="004564A4" w:rsidRPr="005B338B">
        <w:rPr>
          <w:lang w:val="en-US"/>
        </w:rPr>
        <w:t xml:space="preserve"> = 10</w:t>
      </w:r>
      <w:r w:rsidR="004564A4" w:rsidRPr="005B338B">
        <w:rPr>
          <w:vertAlign w:val="superscript"/>
          <w:lang w:val="en-US"/>
        </w:rPr>
        <w:t>15</w:t>
      </w:r>
      <w:r w:rsidR="004564A4" w:rsidRPr="005B338B">
        <w:rPr>
          <w:lang w:val="en-US"/>
        </w:rPr>
        <w:t xml:space="preserve"> m</w:t>
      </w:r>
      <w:r w:rsidR="004564A4" w:rsidRPr="005B338B">
        <w:rPr>
          <w:vertAlign w:val="superscript"/>
          <w:lang w:val="en-US"/>
        </w:rPr>
        <w:t>–3</w:t>
      </w:r>
      <w:r w:rsidR="004564A4" w:rsidRPr="005B338B">
        <w:rPr>
          <w:lang w:val="en-US"/>
        </w:rPr>
        <w:t>. Thus, theoretically, for a plasma-optical mass separator there are no real</w:t>
      </w:r>
      <w:bookmarkStart w:id="0" w:name="_GoBack"/>
      <w:bookmarkEnd w:id="0"/>
      <w:r w:rsidR="004564A4" w:rsidRPr="003B7671">
        <w:rPr>
          <w:lang w:val="en-US"/>
        </w:rPr>
        <w:t xml:space="preserve"> performance restrictions associated with the influence of the magnetic barrier of the azimuthator.</w:t>
      </w:r>
    </w:p>
    <w:p w:rsidR="004564A4" w:rsidRPr="00336BED" w:rsidRDefault="004564A4" w:rsidP="001A69C5">
      <w:pPr>
        <w:pStyle w:val="Zv-TitleReferences-en"/>
        <w:spacing w:before="480"/>
        <w:rPr>
          <w:lang w:val="en-US"/>
        </w:rPr>
      </w:pPr>
      <w:r>
        <w:rPr>
          <w:lang w:val="en-US"/>
        </w:rPr>
        <w:t>References</w:t>
      </w:r>
    </w:p>
    <w:p w:rsidR="004564A4" w:rsidRPr="00A458CF" w:rsidRDefault="004564A4" w:rsidP="004564A4">
      <w:pPr>
        <w:pStyle w:val="Zv-References-en"/>
      </w:pPr>
      <w:r w:rsidRPr="003B7671">
        <w:t>Bardakov V.M., Kichigin G.N., Strokin N.A.</w:t>
      </w:r>
      <w:r>
        <w:t>,</w:t>
      </w:r>
      <w:r w:rsidRPr="003B7671">
        <w:t xml:space="preserve"> </w:t>
      </w:r>
      <w:hyperlink r:id="rId32" w:tooltip="Technical Physics Letters" w:history="1">
        <w:r w:rsidRPr="00FD19D1">
          <w:rPr>
            <w:rStyle w:val="journaltitle"/>
          </w:rPr>
          <w:t>Tech</w:t>
        </w:r>
        <w:r>
          <w:rPr>
            <w:rStyle w:val="journaltitle"/>
          </w:rPr>
          <w:t xml:space="preserve">. </w:t>
        </w:r>
        <w:r w:rsidRPr="00FD19D1">
          <w:rPr>
            <w:rStyle w:val="journaltitle"/>
          </w:rPr>
          <w:t>Phys</w:t>
        </w:r>
        <w:r>
          <w:rPr>
            <w:rStyle w:val="journaltitle"/>
          </w:rPr>
          <w:t xml:space="preserve">. </w:t>
        </w:r>
        <w:r w:rsidRPr="00FD19D1">
          <w:rPr>
            <w:rStyle w:val="journaltitle"/>
          </w:rPr>
          <w:t>Letters</w:t>
        </w:r>
      </w:hyperlink>
      <w:r w:rsidRPr="00A458CF">
        <w:t xml:space="preserve">, 2010, 36, </w:t>
      </w:r>
      <w:r>
        <w:t>185</w:t>
      </w:r>
      <w:r w:rsidRPr="00A458CF">
        <w:t>.</w:t>
      </w:r>
    </w:p>
    <w:p w:rsidR="004564A4" w:rsidRPr="003B7671" w:rsidRDefault="004564A4" w:rsidP="004564A4">
      <w:pPr>
        <w:pStyle w:val="Zv-References-en"/>
      </w:pPr>
      <w:r w:rsidRPr="009C6805">
        <w:t>Bardakov V.M., Ivanov S.D., Kazantsev A.V., Strokin N.A., Stupin A.N.</w:t>
      </w:r>
      <w:r>
        <w:t xml:space="preserve">, </w:t>
      </w:r>
      <w:r w:rsidRPr="009C6805">
        <w:t>Phys</w:t>
      </w:r>
      <w:r>
        <w:t xml:space="preserve">. </w:t>
      </w:r>
      <w:r w:rsidRPr="009C6805">
        <w:t>Plasmas</w:t>
      </w:r>
      <w:r>
        <w:t xml:space="preserve">, </w:t>
      </w:r>
      <w:r w:rsidRPr="009C6805">
        <w:t>2018</w:t>
      </w:r>
      <w:r>
        <w:t xml:space="preserve">, </w:t>
      </w:r>
      <w:r w:rsidRPr="009C6805">
        <w:t>25</w:t>
      </w:r>
      <w:r>
        <w:t>, 083509</w:t>
      </w:r>
      <w:r w:rsidRPr="009C6805">
        <w:t>.</w:t>
      </w:r>
    </w:p>
    <w:sectPr w:rsidR="004564A4" w:rsidRPr="003B7671" w:rsidSect="00F95123">
      <w:headerReference w:type="default" r:id="rId33"/>
      <w:footerReference w:type="even" r:id="rId34"/>
      <w:footerReference w:type="default" r:id="rId35"/>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F92" w:rsidRDefault="00A85F92">
      <w:r>
        <w:separator/>
      </w:r>
    </w:p>
  </w:endnote>
  <w:endnote w:type="continuationSeparator" w:id="0">
    <w:p w:rsidR="00A85F92" w:rsidRDefault="00A85F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B3AD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B3AD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32AC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F92" w:rsidRDefault="00A85F92">
      <w:r>
        <w:separator/>
      </w:r>
    </w:p>
  </w:footnote>
  <w:footnote w:type="continuationSeparator" w:id="0">
    <w:p w:rsidR="00A85F92" w:rsidRDefault="00A85F92">
      <w:r>
        <w:continuationSeparator/>
      </w:r>
    </w:p>
  </w:footnote>
  <w:footnote w:id="1">
    <w:p w:rsidR="00004AA8" w:rsidRPr="00004AA8" w:rsidRDefault="00004AA8">
      <w:pPr>
        <w:pStyle w:val="ac"/>
        <w:rPr>
          <w:sz w:val="22"/>
          <w:szCs w:val="22"/>
          <w:lang w:val="en-US"/>
        </w:rPr>
      </w:pPr>
      <w:r w:rsidRPr="00004AA8">
        <w:rPr>
          <w:rStyle w:val="ae"/>
          <w:sz w:val="22"/>
          <w:szCs w:val="22"/>
          <w:lang w:val="en-US"/>
        </w:rPr>
        <w:t>*)</w:t>
      </w:r>
      <w:r w:rsidRPr="00004AA8">
        <w:rPr>
          <w:sz w:val="22"/>
          <w:szCs w:val="22"/>
          <w:lang w:val="en-US"/>
        </w:rPr>
        <w:t xml:space="preserve">  </w:t>
      </w:r>
      <w:hyperlink r:id="rId1" w:history="1">
        <w:r w:rsidRPr="00332ACF">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6B3AD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1A69C5"/>
    <w:rsid w:val="00004AA8"/>
    <w:rsid w:val="00043701"/>
    <w:rsid w:val="000C657D"/>
    <w:rsid w:val="000C7078"/>
    <w:rsid w:val="000D76E9"/>
    <w:rsid w:val="000E495B"/>
    <w:rsid w:val="001A69C5"/>
    <w:rsid w:val="001C0CCB"/>
    <w:rsid w:val="00205708"/>
    <w:rsid w:val="00220629"/>
    <w:rsid w:val="0022281C"/>
    <w:rsid w:val="0023083F"/>
    <w:rsid w:val="00247225"/>
    <w:rsid w:val="00332ACF"/>
    <w:rsid w:val="003800F3"/>
    <w:rsid w:val="003A606B"/>
    <w:rsid w:val="003B5B93"/>
    <w:rsid w:val="003E0981"/>
    <w:rsid w:val="00401388"/>
    <w:rsid w:val="0043297E"/>
    <w:rsid w:val="00446025"/>
    <w:rsid w:val="004564A4"/>
    <w:rsid w:val="004A77D1"/>
    <w:rsid w:val="004B72AA"/>
    <w:rsid w:val="004F4E29"/>
    <w:rsid w:val="005074E3"/>
    <w:rsid w:val="00567C6F"/>
    <w:rsid w:val="00573BAD"/>
    <w:rsid w:val="0058676C"/>
    <w:rsid w:val="005F764D"/>
    <w:rsid w:val="00654A7B"/>
    <w:rsid w:val="006B3ADE"/>
    <w:rsid w:val="006B5B24"/>
    <w:rsid w:val="00710037"/>
    <w:rsid w:val="00732A2E"/>
    <w:rsid w:val="007B09C9"/>
    <w:rsid w:val="007B6378"/>
    <w:rsid w:val="007E06CE"/>
    <w:rsid w:val="00802D35"/>
    <w:rsid w:val="008306AF"/>
    <w:rsid w:val="008520F9"/>
    <w:rsid w:val="008850EF"/>
    <w:rsid w:val="00906FF7"/>
    <w:rsid w:val="00A85F92"/>
    <w:rsid w:val="00AE6185"/>
    <w:rsid w:val="00AF5DEB"/>
    <w:rsid w:val="00B622ED"/>
    <w:rsid w:val="00B9584E"/>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64A4"/>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unhideWhenUsed/>
    <w:rsid w:val="004564A4"/>
    <w:rPr>
      <w:color w:val="0000FF"/>
      <w:u w:val="single"/>
    </w:rPr>
  </w:style>
  <w:style w:type="paragraph" w:styleId="a8">
    <w:name w:val="List Paragraph"/>
    <w:basedOn w:val="a"/>
    <w:uiPriority w:val="34"/>
    <w:qFormat/>
    <w:rsid w:val="004564A4"/>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Normal (Web)"/>
    <w:basedOn w:val="a"/>
    <w:uiPriority w:val="99"/>
    <w:unhideWhenUsed/>
    <w:rsid w:val="004564A4"/>
    <w:pPr>
      <w:spacing w:before="100" w:beforeAutospacing="1" w:after="100" w:afterAutospacing="1"/>
    </w:pPr>
  </w:style>
  <w:style w:type="character" w:customStyle="1" w:styleId="journaltitle">
    <w:name w:val="journaltitle"/>
    <w:basedOn w:val="a0"/>
    <w:rsid w:val="004564A4"/>
  </w:style>
  <w:style w:type="paragraph" w:styleId="aa">
    <w:name w:val="Balloon Text"/>
    <w:basedOn w:val="a"/>
    <w:link w:val="ab"/>
    <w:rsid w:val="004564A4"/>
    <w:rPr>
      <w:rFonts w:ascii="Tahoma" w:hAnsi="Tahoma" w:cs="Tahoma"/>
      <w:sz w:val="16"/>
      <w:szCs w:val="16"/>
    </w:rPr>
  </w:style>
  <w:style w:type="character" w:customStyle="1" w:styleId="ab">
    <w:name w:val="Текст выноски Знак"/>
    <w:basedOn w:val="a0"/>
    <w:link w:val="aa"/>
    <w:rsid w:val="004564A4"/>
    <w:rPr>
      <w:rFonts w:ascii="Tahoma" w:hAnsi="Tahoma" w:cs="Tahoma"/>
      <w:sz w:val="16"/>
      <w:szCs w:val="16"/>
    </w:rPr>
  </w:style>
  <w:style w:type="paragraph" w:styleId="ac">
    <w:name w:val="footnote text"/>
    <w:basedOn w:val="a"/>
    <w:link w:val="ad"/>
    <w:rsid w:val="00004AA8"/>
    <w:rPr>
      <w:sz w:val="20"/>
      <w:szCs w:val="20"/>
    </w:rPr>
  </w:style>
  <w:style w:type="character" w:customStyle="1" w:styleId="ad">
    <w:name w:val="Текст сноски Знак"/>
    <w:basedOn w:val="a0"/>
    <w:link w:val="ac"/>
    <w:rsid w:val="00004AA8"/>
  </w:style>
  <w:style w:type="character" w:styleId="ae">
    <w:name w:val="footnote reference"/>
    <w:basedOn w:val="a0"/>
    <w:rsid w:val="00004AA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mbardakov38@mail.ru" TargetMode="External"/><Relationship Id="rId13" Type="http://schemas.openxmlformats.org/officeDocument/2006/relationships/hyperlink" Target="mailto:al.stupin1@yandex.ru" TargetMode="Externa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trokin85@inbox.ru"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guen.tkhe@yandex.ru" TargetMode="External"/><Relationship Id="rId24" Type="http://schemas.openxmlformats.org/officeDocument/2006/relationships/image" Target="media/image6.wmf"/><Relationship Id="rId32" Type="http://schemas.openxmlformats.org/officeDocument/2006/relationships/hyperlink" Target="http://link.springer.com/journal/11455"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png"/><Relationship Id="rId36" Type="http://schemas.openxmlformats.org/officeDocument/2006/relationships/fontTable" Target="fontTable.xml"/><Relationship Id="rId10" Type="http://schemas.openxmlformats.org/officeDocument/2006/relationships/hyperlink" Target="mailto:kazanets@gmail.com" TargetMode="External"/><Relationship Id="rId19" Type="http://schemas.openxmlformats.org/officeDocument/2006/relationships/oleObject" Target="embeddings/oleObject3.bin"/><Relationship Id="rId31"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hyperlink" Target="mailto:ivsd55@yandex.ru" TargetMode="Externa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Pt/ru/GG-Strok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48BBD5-0F59-4B89-A197-9EC5921D2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15</TotalTime>
  <Pages>1</Pages>
  <Words>427</Words>
  <Characters>2628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FORMATION OF THE POTENTIAL BY A PLASMA FLOW IN A MAGNETIC BARRIER</vt:lpstr>
    </vt:vector>
  </TitlesOfParts>
  <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FORMATION OF THE POTENTIAL BY A PLASMA FLOW IN A MAGNETIC BARRIER</dc:title>
  <dc:creator>sato</dc:creator>
  <cp:lastModifiedBy>Сатунин</cp:lastModifiedBy>
  <cp:revision>4</cp:revision>
  <cp:lastPrinted>1601-01-01T00:00:00Z</cp:lastPrinted>
  <dcterms:created xsi:type="dcterms:W3CDTF">2020-02-23T19:17:00Z</dcterms:created>
  <dcterms:modified xsi:type="dcterms:W3CDTF">2020-04-28T10:57:00Z</dcterms:modified>
</cp:coreProperties>
</file>