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5AB" w:rsidRPr="00053CE4" w:rsidRDefault="00BC25AB" w:rsidP="00BC25AB">
      <w:pPr>
        <w:pStyle w:val="Zv-Titlereport"/>
      </w:pPr>
      <w:r>
        <w:t>Определение источника заряженных частиц с помощью спектральных диагностик на токамАке т-10</w:t>
      </w:r>
      <w:r w:rsidR="00053CE4" w:rsidRPr="00053CE4">
        <w:t xml:space="preserve"> </w:t>
      </w:r>
      <w:r w:rsidR="00053CE4">
        <w:rPr>
          <w:rStyle w:val="ad"/>
        </w:rPr>
        <w:footnoteReference w:customMarkFollows="1" w:id="1"/>
        <w:t>*)</w:t>
      </w:r>
    </w:p>
    <w:p w:rsidR="00BC25AB" w:rsidRPr="00053CE4" w:rsidRDefault="00BC25AB" w:rsidP="00BC25AB">
      <w:pPr>
        <w:pStyle w:val="Zv-Author"/>
        <w:rPr>
          <w:lang w:val="en-US"/>
        </w:rPr>
      </w:pPr>
      <w:r w:rsidRPr="00053CE4">
        <w:rPr>
          <w:vertAlign w:val="superscript"/>
          <w:lang w:val="en-US"/>
        </w:rPr>
        <w:t>1,2</w:t>
      </w:r>
      <w:r w:rsidRPr="003A626E">
        <w:rPr>
          <w:u w:val="single"/>
        </w:rPr>
        <w:t>Земцов</w:t>
      </w:r>
      <w:r w:rsidRPr="00053CE4">
        <w:rPr>
          <w:u w:val="single"/>
          <w:lang w:val="en-US"/>
        </w:rPr>
        <w:t xml:space="preserve"> </w:t>
      </w:r>
      <w:r w:rsidRPr="003A626E">
        <w:rPr>
          <w:u w:val="single"/>
        </w:rPr>
        <w:t>И</w:t>
      </w:r>
      <w:r w:rsidRPr="00053CE4">
        <w:rPr>
          <w:u w:val="single"/>
          <w:lang w:val="en-US"/>
        </w:rPr>
        <w:t>.</w:t>
      </w:r>
      <w:r w:rsidRPr="003A626E">
        <w:rPr>
          <w:u w:val="single"/>
        </w:rPr>
        <w:t>А</w:t>
      </w:r>
      <w:r w:rsidRPr="00053CE4">
        <w:rPr>
          <w:u w:val="single"/>
          <w:lang w:val="en-US"/>
        </w:rPr>
        <w:t>.</w:t>
      </w:r>
      <w:r w:rsidRPr="00053CE4">
        <w:rPr>
          <w:lang w:val="en-US"/>
        </w:rPr>
        <w:t xml:space="preserve">, </w:t>
      </w:r>
      <w:r w:rsidRPr="00053CE4">
        <w:rPr>
          <w:vertAlign w:val="superscript"/>
          <w:lang w:val="en-US"/>
        </w:rPr>
        <w:t>1</w:t>
      </w:r>
      <w:r w:rsidRPr="003A626E">
        <w:t>Крупин</w:t>
      </w:r>
      <w:r w:rsidRPr="00053CE4">
        <w:rPr>
          <w:lang w:val="en-US"/>
        </w:rPr>
        <w:t xml:space="preserve"> </w:t>
      </w:r>
      <w:r>
        <w:t>В</w:t>
      </w:r>
      <w:r w:rsidRPr="00053CE4">
        <w:rPr>
          <w:lang w:val="en-US"/>
        </w:rPr>
        <w:t>.</w:t>
      </w:r>
      <w:r>
        <w:t>А</w:t>
      </w:r>
      <w:r w:rsidRPr="00053CE4">
        <w:rPr>
          <w:lang w:val="en-US"/>
        </w:rPr>
        <w:t xml:space="preserve">., </w:t>
      </w:r>
      <w:r w:rsidRPr="00053CE4">
        <w:rPr>
          <w:vertAlign w:val="superscript"/>
          <w:lang w:val="en-US"/>
        </w:rPr>
        <w:t>1</w:t>
      </w:r>
      <w:r w:rsidRPr="003A626E">
        <w:t>Нургалиев</w:t>
      </w:r>
      <w:r w:rsidRPr="00053CE4">
        <w:rPr>
          <w:lang w:val="en-US"/>
        </w:rPr>
        <w:t xml:space="preserve"> </w:t>
      </w:r>
      <w:r>
        <w:t>М</w:t>
      </w:r>
      <w:r w:rsidRPr="00053CE4">
        <w:rPr>
          <w:lang w:val="en-US"/>
        </w:rPr>
        <w:t>.</w:t>
      </w:r>
      <w:r>
        <w:t>Р</w:t>
      </w:r>
      <w:r w:rsidRPr="00053CE4">
        <w:rPr>
          <w:lang w:val="en-US"/>
        </w:rPr>
        <w:t xml:space="preserve">., </w:t>
      </w:r>
      <w:r w:rsidRPr="00053CE4">
        <w:rPr>
          <w:vertAlign w:val="superscript"/>
          <w:lang w:val="en-US"/>
        </w:rPr>
        <w:t>1</w:t>
      </w:r>
      <w:r w:rsidRPr="003A626E">
        <w:t>Ключников</w:t>
      </w:r>
      <w:r w:rsidRPr="00053CE4">
        <w:rPr>
          <w:lang w:val="en-US"/>
        </w:rPr>
        <w:t xml:space="preserve"> </w:t>
      </w:r>
      <w:r>
        <w:t>Л</w:t>
      </w:r>
      <w:r w:rsidRPr="00053CE4">
        <w:rPr>
          <w:lang w:val="en-US"/>
        </w:rPr>
        <w:t>.</w:t>
      </w:r>
      <w:r>
        <w:t>А</w:t>
      </w:r>
      <w:r w:rsidRPr="00053CE4">
        <w:rPr>
          <w:lang w:val="en-US"/>
        </w:rPr>
        <w:t xml:space="preserve">., </w:t>
      </w:r>
      <w:r w:rsidRPr="00053CE4">
        <w:rPr>
          <w:vertAlign w:val="superscript"/>
          <w:lang w:val="en-US"/>
        </w:rPr>
        <w:t>1</w:t>
      </w:r>
      <w:r w:rsidRPr="003A626E">
        <w:t>Немец</w:t>
      </w:r>
      <w:r w:rsidRPr="00053CE4">
        <w:rPr>
          <w:lang w:val="en-US"/>
        </w:rPr>
        <w:t xml:space="preserve"> </w:t>
      </w:r>
      <w:r>
        <w:t>А</w:t>
      </w:r>
      <w:r w:rsidRPr="00053CE4">
        <w:rPr>
          <w:lang w:val="en-US"/>
        </w:rPr>
        <w:t>.</w:t>
      </w:r>
      <w:r>
        <w:t>Р</w:t>
      </w:r>
      <w:r w:rsidRPr="00053CE4">
        <w:rPr>
          <w:lang w:val="en-US"/>
        </w:rPr>
        <w:t xml:space="preserve">., </w:t>
      </w:r>
      <w:r w:rsidRPr="00053CE4">
        <w:rPr>
          <w:vertAlign w:val="superscript"/>
          <w:lang w:val="en-US"/>
        </w:rPr>
        <w:t>1</w:t>
      </w:r>
      <w:r w:rsidRPr="003A626E">
        <w:t>Днестровский</w:t>
      </w:r>
      <w:r w:rsidRPr="00053CE4">
        <w:rPr>
          <w:lang w:val="en-US"/>
        </w:rPr>
        <w:t xml:space="preserve"> </w:t>
      </w:r>
      <w:r w:rsidRPr="003A626E">
        <w:t>А</w:t>
      </w:r>
      <w:r w:rsidRPr="00053CE4">
        <w:rPr>
          <w:lang w:val="en-US"/>
        </w:rPr>
        <w:t>.</w:t>
      </w:r>
      <w:r w:rsidRPr="003A626E">
        <w:t>Ю</w:t>
      </w:r>
      <w:r w:rsidRPr="00053CE4">
        <w:rPr>
          <w:lang w:val="en-US"/>
        </w:rPr>
        <w:t xml:space="preserve">., </w:t>
      </w:r>
      <w:r w:rsidRPr="00053CE4">
        <w:rPr>
          <w:vertAlign w:val="superscript"/>
          <w:lang w:val="en-US"/>
        </w:rPr>
        <w:t>1</w:t>
      </w:r>
      <w:r w:rsidRPr="003A626E">
        <w:t>Соловьев</w:t>
      </w:r>
      <w:r w:rsidRPr="00053CE4">
        <w:rPr>
          <w:lang w:val="en-US"/>
        </w:rPr>
        <w:t xml:space="preserve"> </w:t>
      </w:r>
      <w:r>
        <w:t>Н</w:t>
      </w:r>
      <w:r w:rsidRPr="00053CE4">
        <w:rPr>
          <w:lang w:val="en-US"/>
        </w:rPr>
        <w:t>.</w:t>
      </w:r>
      <w:r>
        <w:t>А</w:t>
      </w:r>
      <w:r w:rsidRPr="00053CE4">
        <w:rPr>
          <w:lang w:val="en-US"/>
        </w:rPr>
        <w:t xml:space="preserve">., </w:t>
      </w:r>
      <w:r w:rsidRPr="00053CE4">
        <w:rPr>
          <w:vertAlign w:val="superscript"/>
          <w:lang w:val="en-US"/>
        </w:rPr>
        <w:t>1</w:t>
      </w:r>
      <w:r w:rsidRPr="003A626E">
        <w:t>Сергеев</w:t>
      </w:r>
      <w:r w:rsidRPr="00053CE4">
        <w:rPr>
          <w:lang w:val="en-US"/>
        </w:rPr>
        <w:t xml:space="preserve"> </w:t>
      </w:r>
      <w:r w:rsidRPr="003A626E">
        <w:t>Д</w:t>
      </w:r>
      <w:r w:rsidRPr="00053CE4">
        <w:rPr>
          <w:lang w:val="en-US"/>
        </w:rPr>
        <w:t>.</w:t>
      </w:r>
      <w:r w:rsidRPr="003A626E">
        <w:t>С</w:t>
      </w:r>
      <w:r w:rsidRPr="00053CE4">
        <w:rPr>
          <w:lang w:val="en-US"/>
        </w:rPr>
        <w:t xml:space="preserve">., </w:t>
      </w:r>
      <w:r w:rsidRPr="00053CE4">
        <w:rPr>
          <w:vertAlign w:val="superscript"/>
          <w:lang w:val="en-US"/>
        </w:rPr>
        <w:t>1</w:t>
      </w:r>
      <w:r w:rsidRPr="003A626E">
        <w:t>Сарычев</w:t>
      </w:r>
      <w:r w:rsidRPr="00053CE4">
        <w:rPr>
          <w:lang w:val="en-US"/>
        </w:rPr>
        <w:t xml:space="preserve"> </w:t>
      </w:r>
      <w:r w:rsidRPr="003A626E">
        <w:t>Д</w:t>
      </w:r>
      <w:r w:rsidRPr="00053CE4">
        <w:rPr>
          <w:lang w:val="en-US"/>
        </w:rPr>
        <w:t>.</w:t>
      </w:r>
      <w:r w:rsidRPr="003A626E">
        <w:t>В</w:t>
      </w:r>
      <w:r w:rsidRPr="00053CE4">
        <w:rPr>
          <w:lang w:val="en-US"/>
        </w:rPr>
        <w:t xml:space="preserve">., </w:t>
      </w:r>
      <w:r w:rsidRPr="00053CE4">
        <w:rPr>
          <w:vertAlign w:val="superscript"/>
          <w:lang w:val="en-US"/>
        </w:rPr>
        <w:t>1</w:t>
      </w:r>
      <w:r w:rsidRPr="003A626E">
        <w:t>Трухин</w:t>
      </w:r>
      <w:r w:rsidRPr="00053CE4">
        <w:rPr>
          <w:lang w:val="en-US"/>
        </w:rPr>
        <w:t xml:space="preserve"> </w:t>
      </w:r>
      <w:r>
        <w:t>В</w:t>
      </w:r>
      <w:r w:rsidRPr="00053CE4">
        <w:rPr>
          <w:lang w:val="en-US"/>
        </w:rPr>
        <w:t>.</w:t>
      </w:r>
      <w:r>
        <w:t>М</w:t>
      </w:r>
      <w:r w:rsidRPr="00053CE4">
        <w:rPr>
          <w:lang w:val="en-US"/>
        </w:rPr>
        <w:t>.</w:t>
      </w:r>
    </w:p>
    <w:p w:rsidR="00BC25AB" w:rsidRDefault="00BC25AB" w:rsidP="00BC25AB">
      <w:pPr>
        <w:pStyle w:val="Zv-Organization"/>
      </w:pPr>
      <w:r w:rsidRPr="004B507B">
        <w:rPr>
          <w:vertAlign w:val="superscript"/>
        </w:rPr>
        <w:t>1</w:t>
      </w:r>
      <w:r w:rsidRPr="004B507B">
        <w:t>НИЦ</w:t>
      </w:r>
      <w:r>
        <w:t xml:space="preserve"> «Курчатовский институт», </w:t>
      </w:r>
      <w:hyperlink r:id="rId8" w:history="1">
        <w:r w:rsidRPr="006F5423">
          <w:rPr>
            <w:rStyle w:val="a7"/>
            <w:lang w:val="en-US"/>
          </w:rPr>
          <w:t>zemtsov</w:t>
        </w:r>
        <w:r w:rsidRPr="006F5423">
          <w:rPr>
            <w:rStyle w:val="a7"/>
          </w:rPr>
          <w:t>_</w:t>
        </w:r>
        <w:r w:rsidRPr="006F5423">
          <w:rPr>
            <w:rStyle w:val="a7"/>
            <w:lang w:val="en-US"/>
          </w:rPr>
          <w:t>ia</w:t>
        </w:r>
        <w:r w:rsidRPr="006F5423">
          <w:rPr>
            <w:rStyle w:val="a7"/>
          </w:rPr>
          <w:t>@</w:t>
        </w:r>
        <w:r w:rsidRPr="006F5423">
          <w:rPr>
            <w:rStyle w:val="a7"/>
            <w:lang w:val="en-US"/>
          </w:rPr>
          <w:t>nrcki</w:t>
        </w:r>
        <w:r w:rsidRPr="006F5423">
          <w:rPr>
            <w:rStyle w:val="a7"/>
          </w:rPr>
          <w:t>.</w:t>
        </w:r>
        <w:r w:rsidRPr="006F5423">
          <w:rPr>
            <w:rStyle w:val="a7"/>
            <w:lang w:val="en-US"/>
          </w:rPr>
          <w:t>ru</w:t>
        </w:r>
      </w:hyperlink>
      <w:r w:rsidRPr="004B507B">
        <w:br/>
      </w:r>
      <w:r w:rsidRPr="004B507B">
        <w:rPr>
          <w:vertAlign w:val="superscript"/>
        </w:rPr>
        <w:t>2</w:t>
      </w:r>
      <w:r>
        <w:t>МГТУ им. Н.Э. Баумана</w:t>
      </w:r>
    </w:p>
    <w:tbl>
      <w:tblPr>
        <w:tblStyle w:val="a8"/>
        <w:tblpPr w:leftFromText="180" w:rightFromText="180" w:vertAnchor="text" w:horzAnchor="margin" w:tblpXSpec="right" w:tblpY="67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893"/>
      </w:tblGrid>
      <w:tr w:rsidR="00BC25AB" w:rsidTr="0039625C">
        <w:tc>
          <w:tcPr>
            <w:tcW w:w="5872" w:type="dxa"/>
            <w:vAlign w:val="center"/>
          </w:tcPr>
          <w:p w:rsidR="00BC25AB" w:rsidRDefault="00BC25AB" w:rsidP="0039625C">
            <w:pPr>
              <w:pStyle w:val="Zv-bodyreport"/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604606" cy="28800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4606" cy="28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C25AB" w:rsidTr="0039625C">
        <w:tc>
          <w:tcPr>
            <w:tcW w:w="5872" w:type="dxa"/>
            <w:vAlign w:val="center"/>
          </w:tcPr>
          <w:p w:rsidR="00BC25AB" w:rsidRPr="00BE5C52" w:rsidRDefault="00BC25AB" w:rsidP="0039625C">
            <w:pPr>
              <w:pStyle w:val="Zv-bodyreport"/>
              <w:ind w:firstLine="0"/>
              <w:jc w:val="center"/>
            </w:pPr>
            <w:r w:rsidRPr="003F2DA8">
              <w:t>Рисунок –</w:t>
            </w:r>
            <w:r>
              <w:t xml:space="preserve"> П</w:t>
            </w:r>
            <w:r w:rsidRPr="003F2DA8">
              <w:t>рофили</w:t>
            </w:r>
            <w:r>
              <w:t xml:space="preserve"> мощности</w:t>
            </w:r>
            <w:r w:rsidRPr="003F2DA8">
              <w:t xml:space="preserve"> различных компонент ионизационного источника электронов</w:t>
            </w:r>
            <w:r w:rsidRPr="00BE5C52">
              <w:t xml:space="preserve"> </w:t>
            </w:r>
            <w:r>
              <w:br/>
            </w:r>
            <w:r w:rsidRPr="00BE5C52">
              <w:t>(</w:t>
            </w:r>
            <w:r w:rsidRPr="00BE5C52">
              <w:rPr>
                <w:i/>
                <w:iCs/>
                <w:lang w:val="en-US"/>
              </w:rPr>
              <w:t>T</w:t>
            </w:r>
            <w:r w:rsidRPr="00BE5C52">
              <w:rPr>
                <w:i/>
                <w:iCs/>
                <w:vertAlign w:val="subscript"/>
                <w:lang w:val="en-US"/>
              </w:rPr>
              <w:t>e</w:t>
            </w:r>
            <w:r w:rsidRPr="00BE5C52">
              <w:t>(0)</w:t>
            </w:r>
            <w:r>
              <w:t> </w:t>
            </w:r>
            <w:r w:rsidRPr="00BE5C52">
              <w:t>=</w:t>
            </w:r>
            <w:r>
              <w:t> </w:t>
            </w:r>
            <w:r w:rsidRPr="00BE5C52">
              <w:t>1</w:t>
            </w:r>
            <w:r>
              <w:t xml:space="preserve"> кэВ, </w:t>
            </w:r>
            <w:r w:rsidRPr="00BE5C52">
              <w:rPr>
                <w:i/>
                <w:iCs/>
                <w:lang w:val="en-US"/>
              </w:rPr>
              <w:t>n</w:t>
            </w:r>
            <w:r w:rsidRPr="00BE5C52">
              <w:rPr>
                <w:i/>
                <w:iCs/>
                <w:vertAlign w:val="subscript"/>
                <w:lang w:val="en-US"/>
              </w:rPr>
              <w:t>e</w:t>
            </w:r>
            <w:r w:rsidRPr="00BE5C52">
              <w:t>(0)</w:t>
            </w:r>
            <w:r>
              <w:t> </w:t>
            </w:r>
            <w:r w:rsidRPr="00BE5C52">
              <w:t>=</w:t>
            </w:r>
            <w:r>
              <w:t> 4,2</w:t>
            </w:r>
            <w:r w:rsidRPr="00BE5C52">
              <w:rPr>
                <w:rFonts w:ascii="Cambria Math" w:hAnsi="Cambria Math" w:cs="Cambria Math"/>
              </w:rPr>
              <w:t>⋅</w:t>
            </w:r>
            <w:r>
              <w:rPr>
                <w:rFonts w:ascii="Cambria Math" w:hAnsi="Cambria Math" w:cs="Cambria Math"/>
              </w:rPr>
              <w:t>10</w:t>
            </w:r>
            <w:r w:rsidRPr="00BE5C52">
              <w:rPr>
                <w:rFonts w:ascii="Cambria Math" w:hAnsi="Cambria Math" w:cs="Cambria Math"/>
                <w:vertAlign w:val="superscript"/>
              </w:rPr>
              <w:t>13</w:t>
            </w:r>
            <w:r w:rsidRPr="00BE5C52">
              <w:rPr>
                <w:rFonts w:ascii="Cambria Math" w:hAnsi="Cambria Math" w:cs="Cambria Math"/>
              </w:rPr>
              <w:t> </w:t>
            </w:r>
            <w:r>
              <w:rPr>
                <w:rFonts w:ascii="Cambria Math" w:hAnsi="Cambria Math" w:cs="Cambria Math"/>
              </w:rPr>
              <w:t>см</w:t>
            </w:r>
            <w:r w:rsidRPr="00BE5C52">
              <w:rPr>
                <w:rFonts w:ascii="Cambria Math" w:hAnsi="Cambria Math" w:cs="Cambria Math"/>
                <w:vertAlign w:val="superscript"/>
              </w:rPr>
              <w:t>-3</w:t>
            </w:r>
            <w:r>
              <w:t>)</w:t>
            </w:r>
          </w:p>
        </w:tc>
      </w:tr>
    </w:tbl>
    <w:p w:rsidR="00BC25AB" w:rsidRPr="00AC39C4" w:rsidRDefault="00BC25AB" w:rsidP="00CA6421">
      <w:pPr>
        <w:pStyle w:val="Zv-bodyreport"/>
        <w:spacing w:line="228" w:lineRule="auto"/>
      </w:pPr>
      <w:r>
        <w:t>В работе представлены результаты оценки величины</w:t>
      </w:r>
      <w:r w:rsidRPr="005723EE">
        <w:t xml:space="preserve"> источника электронов</w:t>
      </w:r>
      <w:r>
        <w:t xml:space="preserve"> Λ и ионов</w:t>
      </w:r>
      <w:r w:rsidRPr="005723EE">
        <w:t xml:space="preserve">, </w:t>
      </w:r>
      <w:r>
        <w:t xml:space="preserve">проведенные путем анализа данных спектроскопических измерений линий рабочего газа и </w:t>
      </w:r>
      <w:r w:rsidRPr="00AC39C4">
        <w:t>примесей.</w:t>
      </w:r>
    </w:p>
    <w:p w:rsidR="00BC25AB" w:rsidRPr="00263CF1" w:rsidRDefault="00BC25AB" w:rsidP="00CA6421">
      <w:pPr>
        <w:pStyle w:val="Zv-bodyreport"/>
        <w:spacing w:line="228" w:lineRule="auto"/>
      </w:pPr>
      <w:r w:rsidRPr="00AC39C4">
        <w:t>Полная величина источника электронов определялась как сумма источников, создаваемых атомами рабочего газа (Λ</w:t>
      </w:r>
      <w:r w:rsidRPr="00F46607">
        <w:rPr>
          <w:vertAlign w:val="subscript"/>
          <w:lang w:val="en-US"/>
        </w:rPr>
        <w:t>D</w:t>
      </w:r>
      <w:r w:rsidRPr="00AC39C4">
        <w:t xml:space="preserve">), а также атомами и ионами примесей </w:t>
      </w:r>
      <w:r w:rsidRPr="00AC39C4">
        <w:rPr>
          <w:lang w:val="en-US"/>
        </w:rPr>
        <w:t>C</w:t>
      </w:r>
      <w:r w:rsidRPr="00AC39C4">
        <w:t xml:space="preserve"> (Λ</w:t>
      </w:r>
      <w:r w:rsidRPr="00AC39C4">
        <w:rPr>
          <w:vertAlign w:val="subscript"/>
          <w:lang w:val="en-US"/>
        </w:rPr>
        <w:t>C</w:t>
      </w:r>
      <w:r w:rsidRPr="00AC39C4">
        <w:t xml:space="preserve">) и </w:t>
      </w:r>
      <w:r w:rsidRPr="00AC39C4">
        <w:rPr>
          <w:lang w:val="en-US"/>
        </w:rPr>
        <w:t>O</w:t>
      </w:r>
      <w:r w:rsidRPr="00AC39C4">
        <w:t xml:space="preserve"> (Λ</w:t>
      </w:r>
      <w:r w:rsidRPr="00AC39C4">
        <w:rPr>
          <w:vertAlign w:val="subscript"/>
          <w:lang w:val="en-US"/>
        </w:rPr>
        <w:t>O</w:t>
      </w:r>
      <w:r w:rsidRPr="00AC39C4">
        <w:t>). Λ</w:t>
      </w:r>
      <w:r w:rsidRPr="00F46607">
        <w:rPr>
          <w:vertAlign w:val="subscript"/>
          <w:lang w:val="en-US"/>
        </w:rPr>
        <w:t>D</w:t>
      </w:r>
      <w:r w:rsidRPr="00AC39C4">
        <w:t xml:space="preserve"> в свою очередь складывалась из двух компонент: усредненный по поверхности тора пристеночный источник</w:t>
      </w:r>
      <w:r>
        <w:t xml:space="preserve"> (Λ</w:t>
      </w:r>
      <w:r>
        <w:rPr>
          <w:vertAlign w:val="subscript"/>
          <w:lang w:val="en-US"/>
        </w:rPr>
        <w:t>D</w:t>
      </w:r>
      <w:r>
        <w:rPr>
          <w:vertAlign w:val="subscript"/>
        </w:rPr>
        <w:t>,</w:t>
      </w:r>
      <w:r w:rsidRPr="00954151">
        <w:rPr>
          <w:i/>
          <w:iCs/>
          <w:vertAlign w:val="subscript"/>
          <w:lang w:val="en-US"/>
        </w:rPr>
        <w:t>wall</w:t>
      </w:r>
      <w:r w:rsidRPr="00954151">
        <w:t>)</w:t>
      </w:r>
      <w:r>
        <w:t xml:space="preserve"> и локальный источник из </w:t>
      </w:r>
      <w:r w:rsidRPr="00263CF1">
        <w:t>придиафрагменной зоны (Λ</w:t>
      </w:r>
      <w:r w:rsidRPr="00263CF1">
        <w:rPr>
          <w:vertAlign w:val="subscript"/>
          <w:lang w:val="en-US"/>
        </w:rPr>
        <w:t>D</w:t>
      </w:r>
      <w:r w:rsidRPr="00263CF1">
        <w:rPr>
          <w:vertAlign w:val="subscript"/>
        </w:rPr>
        <w:t>,</w:t>
      </w:r>
      <w:r w:rsidRPr="00263CF1">
        <w:rPr>
          <w:i/>
          <w:iCs/>
          <w:vertAlign w:val="subscript"/>
          <w:lang w:val="en-US"/>
        </w:rPr>
        <w:t>lim</w:t>
      </w:r>
      <w:r w:rsidRPr="00263CF1">
        <w:t>).</w:t>
      </w:r>
    </w:p>
    <w:p w:rsidR="00BC25AB" w:rsidRPr="00F46607" w:rsidRDefault="00BC25AB" w:rsidP="00CA6421">
      <w:pPr>
        <w:pStyle w:val="Zv-bodyreport"/>
        <w:spacing w:line="228" w:lineRule="auto"/>
        <w:rPr>
          <w:szCs w:val="28"/>
        </w:rPr>
      </w:pPr>
      <w:r w:rsidRPr="00263CF1">
        <w:t>Величина Λ</w:t>
      </w:r>
      <w:r w:rsidRPr="00263CF1">
        <w:rPr>
          <w:vertAlign w:val="subscript"/>
          <w:lang w:val="en-US"/>
        </w:rPr>
        <w:t>D</w:t>
      </w:r>
      <w:r w:rsidRPr="00263CF1">
        <w:rPr>
          <w:vertAlign w:val="subscript"/>
        </w:rPr>
        <w:t>,</w:t>
      </w:r>
      <w:r w:rsidRPr="00263CF1">
        <w:rPr>
          <w:i/>
          <w:iCs/>
          <w:vertAlign w:val="subscript"/>
          <w:lang w:val="en-US"/>
        </w:rPr>
        <w:t>lim</w:t>
      </w:r>
      <w:r w:rsidRPr="00263CF1">
        <w:t xml:space="preserve"> определена из пространственного распределения яркости излучения</w:t>
      </w:r>
      <w:r w:rsidRPr="00043AF1">
        <w:t xml:space="preserve"> линии D</w:t>
      </w:r>
      <w:r w:rsidRPr="00043AF1">
        <w:rPr>
          <w:vertAlign w:val="subscript"/>
        </w:rPr>
        <w:t>α</w:t>
      </w:r>
      <w:r w:rsidRPr="00043AF1">
        <w:t xml:space="preserve"> в </w:t>
      </w:r>
      <w:r>
        <w:t>лимитерном сечении</w:t>
      </w:r>
      <w:r w:rsidRPr="00043AF1">
        <w:t xml:space="preserve"> токамака </w:t>
      </w:r>
      <w:r>
        <w:t>за</w:t>
      </w:r>
      <w:r w:rsidRPr="00043AF1">
        <w:t>регистр</w:t>
      </w:r>
      <w:r>
        <w:t>ованного при помощи</w:t>
      </w:r>
      <w:r w:rsidRPr="00043AF1">
        <w:t xml:space="preserve"> эндоскопа</w:t>
      </w:r>
      <w:r>
        <w:t xml:space="preserve">. Для получения абсолютных </w:t>
      </w:r>
      <w:r w:rsidRPr="00263CF1">
        <w:t>значений яркости линии D</w:t>
      </w:r>
      <w:r w:rsidRPr="00263CF1">
        <w:rPr>
          <w:vertAlign w:val="subscript"/>
        </w:rPr>
        <w:t>α</w:t>
      </w:r>
      <w:r w:rsidRPr="00263CF1">
        <w:t xml:space="preserve"> проведена абсолютная калибровка эндоскопа с помощью эталонного источника</w:t>
      </w:r>
      <w:r w:rsidRPr="00263CF1">
        <w:rPr>
          <w:szCs w:val="28"/>
        </w:rPr>
        <w:t xml:space="preserve">. </w:t>
      </w:r>
      <w:r w:rsidRPr="00263CF1">
        <w:t>Λ</w:t>
      </w:r>
      <w:r w:rsidRPr="00263CF1">
        <w:rPr>
          <w:vertAlign w:val="subscript"/>
          <w:lang w:val="en-US"/>
        </w:rPr>
        <w:t>D</w:t>
      </w:r>
      <w:r w:rsidRPr="00263CF1">
        <w:rPr>
          <w:vertAlign w:val="subscript"/>
        </w:rPr>
        <w:t>,</w:t>
      </w:r>
      <w:r w:rsidRPr="00263CF1">
        <w:rPr>
          <w:i/>
          <w:iCs/>
          <w:vertAlign w:val="subscript"/>
          <w:lang w:val="en-US"/>
        </w:rPr>
        <w:t>wall</w:t>
      </w:r>
      <w:r w:rsidRPr="00263CF1">
        <w:t xml:space="preserve"> определена в</w:t>
      </w:r>
      <w:r>
        <w:t xml:space="preserve"> результате расчетов </w:t>
      </w:r>
      <w:r w:rsidRPr="00A43254">
        <w:t>проникновения атомов в радиальном направлении с использованием код</w:t>
      </w:r>
      <w:r>
        <w:t>а</w:t>
      </w:r>
      <w:r w:rsidRPr="00A43254">
        <w:t xml:space="preserve"> ASTRA</w:t>
      </w:r>
      <w:r>
        <w:t>.</w:t>
      </w:r>
      <w:r w:rsidRPr="00954151">
        <w:t xml:space="preserve"> </w:t>
      </w:r>
      <w:r>
        <w:t xml:space="preserve">Учитывались две компоненты потока атомов дейтерия со стенки камеры: «холодная» (3 эВ, </w:t>
      </w:r>
      <w:r w:rsidRPr="00FA032E">
        <w:rPr>
          <w:iCs/>
          <w:szCs w:val="26"/>
          <w:lang w:val="en-US"/>
        </w:rPr>
        <w:t>D</w:t>
      </w:r>
      <w:r w:rsidRPr="008161AF">
        <w:rPr>
          <w:i/>
          <w:szCs w:val="26"/>
          <w:vertAlign w:val="superscript"/>
          <w:lang w:val="en-US"/>
        </w:rPr>
        <w:t>kond</w:t>
      </w:r>
      <w:r w:rsidRPr="00FA032E">
        <w:rPr>
          <w:iCs/>
          <w:szCs w:val="26"/>
        </w:rPr>
        <w:t>)</w:t>
      </w:r>
      <w:r>
        <w:t xml:space="preserve"> и «горячая» (50 эВ, </w:t>
      </w:r>
      <w:r w:rsidRPr="00F46607">
        <w:rPr>
          <w:iCs/>
          <w:szCs w:val="26"/>
          <w:lang w:val="en-US"/>
        </w:rPr>
        <w:t>D</w:t>
      </w:r>
      <w:r w:rsidRPr="008161AF">
        <w:rPr>
          <w:i/>
          <w:szCs w:val="26"/>
          <w:vertAlign w:val="superscript"/>
          <w:lang w:val="en-US"/>
        </w:rPr>
        <w:t>heat</w:t>
      </w:r>
      <w:r w:rsidRPr="00FA032E">
        <w:rPr>
          <w:iCs/>
          <w:szCs w:val="26"/>
        </w:rPr>
        <w:t>)</w:t>
      </w:r>
      <w:r>
        <w:t xml:space="preserve">. Энергия и отношение их концентраций </w:t>
      </w:r>
      <w:r w:rsidRPr="008161AF">
        <w:rPr>
          <w:i/>
          <w:szCs w:val="26"/>
          <w:lang w:val="en-US"/>
        </w:rPr>
        <w:t>n</w:t>
      </w:r>
      <w:r w:rsidRPr="00F46607">
        <w:rPr>
          <w:iCs/>
          <w:szCs w:val="26"/>
          <w:vertAlign w:val="subscript"/>
          <w:lang w:val="en-US"/>
        </w:rPr>
        <w:t>D</w:t>
      </w:r>
      <w:r w:rsidRPr="008161AF">
        <w:rPr>
          <w:i/>
          <w:szCs w:val="26"/>
          <w:vertAlign w:val="superscript"/>
          <w:lang w:val="en-US"/>
        </w:rPr>
        <w:t>kond</w:t>
      </w:r>
      <w:r w:rsidRPr="005C2ED3">
        <w:rPr>
          <w:i/>
          <w:szCs w:val="26"/>
          <w:lang w:val="en-US"/>
        </w:rPr>
        <w:t> </w:t>
      </w:r>
      <w:r>
        <w:rPr>
          <w:szCs w:val="26"/>
        </w:rPr>
        <w:t>/</w:t>
      </w:r>
      <w:r>
        <w:rPr>
          <w:szCs w:val="26"/>
          <w:lang w:val="en-US"/>
        </w:rPr>
        <w:t> </w:t>
      </w:r>
      <w:r w:rsidRPr="008161AF">
        <w:rPr>
          <w:i/>
          <w:szCs w:val="26"/>
          <w:lang w:val="en-US"/>
        </w:rPr>
        <w:t>n</w:t>
      </w:r>
      <w:r w:rsidRPr="00F46607">
        <w:rPr>
          <w:iCs/>
          <w:szCs w:val="26"/>
          <w:vertAlign w:val="subscript"/>
          <w:lang w:val="en-US"/>
        </w:rPr>
        <w:t>D</w:t>
      </w:r>
      <w:r w:rsidRPr="008161AF">
        <w:rPr>
          <w:i/>
          <w:szCs w:val="26"/>
          <w:vertAlign w:val="superscript"/>
          <w:lang w:val="en-US"/>
        </w:rPr>
        <w:t>heat</w:t>
      </w:r>
      <w:r>
        <w:t xml:space="preserve"> = 5</w:t>
      </w:r>
      <w:r>
        <w:rPr>
          <w:lang w:val="en-US"/>
        </w:rPr>
        <w:t> </w:t>
      </w:r>
      <w:r>
        <w:t>/</w:t>
      </w:r>
      <w:r>
        <w:rPr>
          <w:lang w:val="en-US"/>
        </w:rPr>
        <w:t> </w:t>
      </w:r>
      <w:r>
        <w:t xml:space="preserve">1 определялись из анализа спектра линии </w:t>
      </w:r>
      <w:r>
        <w:rPr>
          <w:lang w:val="en-US"/>
        </w:rPr>
        <w:t>D</w:t>
      </w:r>
      <w:r w:rsidRPr="007F5FA5">
        <w:rPr>
          <w:vertAlign w:val="subscript"/>
          <w:lang w:val="en-US"/>
        </w:rPr>
        <w:t>α</w:t>
      </w:r>
      <w:r w:rsidRPr="007F5FA5">
        <w:t>.</w:t>
      </w:r>
      <w:r>
        <w:t xml:space="preserve"> Граничное условие </w:t>
      </w:r>
      <w:r w:rsidRPr="007F5FA5">
        <w:rPr>
          <w:i/>
          <w:lang w:val="en-US"/>
        </w:rPr>
        <w:t>n</w:t>
      </w:r>
      <w:r w:rsidRPr="005C2ED3">
        <w:rPr>
          <w:vertAlign w:val="subscript"/>
          <w:lang w:val="en-US"/>
        </w:rPr>
        <w:t>D</w:t>
      </w:r>
      <w:r w:rsidRPr="007F5FA5">
        <w:t>(</w:t>
      </w:r>
      <w:r w:rsidRPr="007F5FA5">
        <w:rPr>
          <w:i/>
          <w:lang w:val="en-US"/>
        </w:rPr>
        <w:t>a</w:t>
      </w:r>
      <w:r w:rsidRPr="007F5FA5">
        <w:rPr>
          <w:i/>
          <w:vertAlign w:val="subscript"/>
          <w:lang w:val="en-US"/>
        </w:rPr>
        <w:t>L</w:t>
      </w:r>
      <w:r w:rsidRPr="007F5FA5">
        <w:t>) за</w:t>
      </w:r>
      <w:r>
        <w:t xml:space="preserve">давалось из условия совпадения с абсолютной величиной яркости </w:t>
      </w:r>
      <w:r>
        <w:rPr>
          <w:lang w:val="en-US"/>
        </w:rPr>
        <w:t>D</w:t>
      </w:r>
      <w:r w:rsidRPr="007F5FA5">
        <w:rPr>
          <w:vertAlign w:val="subscript"/>
          <w:lang w:val="en-US"/>
        </w:rPr>
        <w:t>α</w:t>
      </w:r>
      <w:r>
        <w:t>. Мощности ионизационных источников примесей Λ</w:t>
      </w:r>
      <w:r w:rsidRPr="00954151">
        <w:rPr>
          <w:vertAlign w:val="subscript"/>
          <w:lang w:val="en-US"/>
        </w:rPr>
        <w:t>C</w:t>
      </w:r>
      <w:r>
        <w:t xml:space="preserve"> и Λ</w:t>
      </w:r>
      <w:r w:rsidRPr="00954151">
        <w:rPr>
          <w:vertAlign w:val="subscript"/>
          <w:lang w:val="en-US"/>
        </w:rPr>
        <w:t>O</w:t>
      </w:r>
      <w:r>
        <w:t xml:space="preserve"> определены путем описания в модели радиальных профилей концентраций ядер углерода и кислорода, определяемых из </w:t>
      </w:r>
      <w:r>
        <w:rPr>
          <w:lang w:val="en-US"/>
        </w:rPr>
        <w:t>CXRS</w:t>
      </w:r>
      <w:r w:rsidRPr="00AC39C4">
        <w:t>-</w:t>
      </w:r>
      <w:r>
        <w:t xml:space="preserve">измерений. Расчет ионизационных состояний примесей выполнен с помощью кода </w:t>
      </w:r>
      <w:r>
        <w:rPr>
          <w:lang w:val="en-US"/>
        </w:rPr>
        <w:t>STRAHL</w:t>
      </w:r>
      <w:r w:rsidRPr="005C2ED3">
        <w:t xml:space="preserve"> </w:t>
      </w:r>
      <w:r w:rsidRPr="00CD3F01">
        <w:t>с учетом неоклассическ</w:t>
      </w:r>
      <w:r>
        <w:t>их</w:t>
      </w:r>
      <w:r w:rsidRPr="00CD3F01">
        <w:t xml:space="preserve"> и аномальн</w:t>
      </w:r>
      <w:r>
        <w:t>ых</w:t>
      </w:r>
      <w:r w:rsidRPr="00CD3F01">
        <w:t xml:space="preserve"> </w:t>
      </w:r>
      <w:r>
        <w:t>коэффициентов переноса</w:t>
      </w:r>
      <w:r w:rsidRPr="005C2ED3">
        <w:t xml:space="preserve"> [1]</w:t>
      </w:r>
      <w:r>
        <w:t>.</w:t>
      </w:r>
    </w:p>
    <w:p w:rsidR="00BC25AB" w:rsidRDefault="00BC25AB" w:rsidP="00CA6421">
      <w:pPr>
        <w:pStyle w:val="Zv-bodyreport"/>
        <w:spacing w:line="228" w:lineRule="auto"/>
      </w:pPr>
      <w:r>
        <w:t xml:space="preserve">Проведенные расчеты позволили установить </w:t>
      </w:r>
      <w:r w:rsidRPr="005723EE">
        <w:t>пространственн</w:t>
      </w:r>
      <w:r>
        <w:t>ую</w:t>
      </w:r>
      <w:r w:rsidRPr="005723EE">
        <w:t xml:space="preserve"> </w:t>
      </w:r>
      <w:r>
        <w:t>зависимость</w:t>
      </w:r>
      <w:r w:rsidRPr="005723EE">
        <w:t xml:space="preserve"> мощности источника</w:t>
      </w:r>
      <w:r>
        <w:t xml:space="preserve"> от радиуса, представленную на Рисунке</w:t>
      </w:r>
      <w:r w:rsidRPr="005723EE">
        <w:t xml:space="preserve">. </w:t>
      </w:r>
      <w:r>
        <w:t>О</w:t>
      </w:r>
      <w:r w:rsidRPr="005723EE">
        <w:t xml:space="preserve">сновная </w:t>
      </w:r>
      <w:r>
        <w:t>ее величина</w:t>
      </w:r>
      <w:r w:rsidRPr="005723EE">
        <w:t xml:space="preserve"> сосредоточена </w:t>
      </w:r>
      <w:r>
        <w:t>в области (</w:t>
      </w:r>
      <w:r w:rsidRPr="005723EE">
        <w:t>0,</w:t>
      </w:r>
      <w:r>
        <w:t>75</w:t>
      </w:r>
      <w:r w:rsidRPr="005723EE">
        <w:t>…1</w:t>
      </w:r>
      <w:r>
        <w:t>)</w:t>
      </w:r>
      <w:r w:rsidRPr="005C2ED3">
        <w:t>·</w:t>
      </w:r>
      <w:r w:rsidRPr="005C2ED3">
        <w:rPr>
          <w:i/>
          <w:lang w:val="en-US"/>
        </w:rPr>
        <w:t>a</w:t>
      </w:r>
      <w:r w:rsidRPr="005C2ED3">
        <w:rPr>
          <w:i/>
          <w:vertAlign w:val="subscript"/>
          <w:lang w:val="en-US"/>
        </w:rPr>
        <w:t>L</w:t>
      </w:r>
      <w:r>
        <w:t>.</w:t>
      </w:r>
      <w:r w:rsidRPr="005723EE">
        <w:t xml:space="preserve"> </w:t>
      </w:r>
      <w:r>
        <w:t>С помощью эндоскопических измерений установлено, что величины потоков</w:t>
      </w:r>
      <w:r w:rsidRPr="00F46607">
        <w:t xml:space="preserve"> </w:t>
      </w:r>
      <w:r>
        <w:t>Λ</w:t>
      </w:r>
      <w:r>
        <w:rPr>
          <w:vertAlign w:val="subscript"/>
          <w:lang w:val="en-US"/>
        </w:rPr>
        <w:t>D</w:t>
      </w:r>
      <w:r>
        <w:rPr>
          <w:vertAlign w:val="subscript"/>
        </w:rPr>
        <w:t>,</w:t>
      </w:r>
      <w:r w:rsidRPr="00954151">
        <w:rPr>
          <w:i/>
          <w:iCs/>
          <w:vertAlign w:val="subscript"/>
          <w:lang w:val="en-US"/>
        </w:rPr>
        <w:t>wall</w:t>
      </w:r>
      <w:r>
        <w:t xml:space="preserve"> и Λ</w:t>
      </w:r>
      <w:r>
        <w:rPr>
          <w:vertAlign w:val="subscript"/>
          <w:lang w:val="en-US"/>
        </w:rPr>
        <w:t>D</w:t>
      </w:r>
      <w:r>
        <w:rPr>
          <w:vertAlign w:val="subscript"/>
        </w:rPr>
        <w:t>,</w:t>
      </w:r>
      <w:r w:rsidRPr="00954151">
        <w:rPr>
          <w:i/>
          <w:iCs/>
          <w:vertAlign w:val="subscript"/>
          <w:lang w:val="en-US"/>
        </w:rPr>
        <w:t>lim</w:t>
      </w:r>
      <w:r>
        <w:t xml:space="preserve"> относятся как 1 к 2…3. Доля источника электронов за счет примесей плазмы (углерод, кислород) </w:t>
      </w:r>
      <w:r w:rsidRPr="005723EE">
        <w:t xml:space="preserve">не </w:t>
      </w:r>
      <w:r>
        <w:t>превышает 25 </w:t>
      </w:r>
      <w:r w:rsidRPr="005723EE">
        <w:t>%</w:t>
      </w:r>
      <w:r>
        <w:t xml:space="preserve"> в </w:t>
      </w:r>
      <w:r>
        <w:rPr>
          <w:lang w:val="en-US"/>
        </w:rPr>
        <w:t>OH</w:t>
      </w:r>
      <w:r w:rsidRPr="005C2ED3">
        <w:t xml:space="preserve"> </w:t>
      </w:r>
      <w:r>
        <w:t>разрядах с величино</w:t>
      </w:r>
      <w:r w:rsidRPr="005C2ED3">
        <w:t xml:space="preserve">й </w:t>
      </w:r>
      <w:r w:rsidRPr="005C2ED3">
        <w:rPr>
          <w:i/>
          <w:iCs/>
          <w:lang w:val="en-US"/>
        </w:rPr>
        <w:t>Z</w:t>
      </w:r>
      <w:r w:rsidRPr="005C2ED3">
        <w:rPr>
          <w:vertAlign w:val="subscript"/>
          <w:lang w:val="en-US"/>
        </w:rPr>
        <w:t>eff</w:t>
      </w:r>
      <w:r w:rsidRPr="005C2ED3">
        <w:t xml:space="preserve"> ~2…3</w:t>
      </w:r>
      <w:r w:rsidRPr="005723EE">
        <w:t>.</w:t>
      </w:r>
    </w:p>
    <w:p w:rsidR="00BC25AB" w:rsidRPr="005C2ED3" w:rsidRDefault="00BC25AB" w:rsidP="00CA6421">
      <w:pPr>
        <w:pStyle w:val="Zv-bodyreport"/>
        <w:spacing w:line="228" w:lineRule="auto"/>
        <w:rPr>
          <w:iCs/>
        </w:rPr>
      </w:pPr>
      <w:r w:rsidRPr="005723EE">
        <w:rPr>
          <w:iCs/>
        </w:rPr>
        <w:t xml:space="preserve">Интегральная по шнуру мощность источника электронов составила </w:t>
      </w:r>
      <w:r w:rsidRPr="00B17519">
        <w:rPr>
          <w:iCs/>
        </w:rPr>
        <w:t>~</w:t>
      </w:r>
      <w:r w:rsidRPr="005723EE">
        <w:rPr>
          <w:iCs/>
        </w:rPr>
        <w:t>2∙10</w:t>
      </w:r>
      <w:r w:rsidRPr="005723EE">
        <w:rPr>
          <w:iCs/>
          <w:vertAlign w:val="superscript"/>
        </w:rPr>
        <w:t>21</w:t>
      </w:r>
      <w:r>
        <w:rPr>
          <w:iCs/>
        </w:rPr>
        <w:t> </w:t>
      </w:r>
      <w:r w:rsidRPr="005723EE">
        <w:rPr>
          <w:iCs/>
        </w:rPr>
        <w:t>электронов/с</w:t>
      </w:r>
      <w:r>
        <w:rPr>
          <w:iCs/>
        </w:rPr>
        <w:t>. К</w:t>
      </w:r>
      <w:r w:rsidRPr="005723EE">
        <w:rPr>
          <w:iCs/>
        </w:rPr>
        <w:t>онцентраци</w:t>
      </w:r>
      <w:r>
        <w:rPr>
          <w:iCs/>
        </w:rPr>
        <w:t>я</w:t>
      </w:r>
      <w:r w:rsidRPr="005723EE">
        <w:rPr>
          <w:iCs/>
        </w:rPr>
        <w:t xml:space="preserve"> нейтральных атомов на границе шнура</w:t>
      </w:r>
      <w:r>
        <w:rPr>
          <w:iCs/>
        </w:rPr>
        <w:t xml:space="preserve"> составила </w:t>
      </w:r>
      <w:r w:rsidRPr="005C2ED3">
        <w:rPr>
          <w:i/>
          <w:iCs/>
          <w:lang w:val="en-US"/>
        </w:rPr>
        <w:t>n</w:t>
      </w:r>
      <w:r w:rsidRPr="005C2ED3">
        <w:rPr>
          <w:iCs/>
          <w:vertAlign w:val="subscript"/>
          <w:lang w:val="en-US"/>
        </w:rPr>
        <w:t>D</w:t>
      </w:r>
      <w:r w:rsidRPr="005C2ED3">
        <w:rPr>
          <w:iCs/>
        </w:rPr>
        <w:t> ~</w:t>
      </w:r>
      <w:r>
        <w:rPr>
          <w:iCs/>
          <w:lang w:val="en-US"/>
        </w:rPr>
        <w:t> </w:t>
      </w:r>
      <w:r>
        <w:rPr>
          <w:iCs/>
        </w:rPr>
        <w:t>0,7</w:t>
      </w:r>
      <w:r>
        <w:rPr>
          <w:rFonts w:ascii="Cambria Math" w:hAnsi="Cambria Math" w:cs="Cambria Math"/>
          <w:iCs/>
        </w:rPr>
        <w:t>⋅</w:t>
      </w:r>
      <w:r w:rsidRPr="00B17519">
        <w:rPr>
          <w:iCs/>
        </w:rPr>
        <w:t>10</w:t>
      </w:r>
      <w:r w:rsidRPr="00B17519">
        <w:rPr>
          <w:iCs/>
          <w:vertAlign w:val="superscript"/>
        </w:rPr>
        <w:t>10</w:t>
      </w:r>
      <w:r>
        <w:rPr>
          <w:iCs/>
        </w:rPr>
        <w:t> </w:t>
      </w:r>
      <w:r w:rsidRPr="005723EE">
        <w:rPr>
          <w:iCs/>
        </w:rPr>
        <w:t>см</w:t>
      </w:r>
      <w:r w:rsidRPr="005723EE">
        <w:rPr>
          <w:iCs/>
          <w:vertAlign w:val="superscript"/>
        </w:rPr>
        <w:t>-3</w:t>
      </w:r>
      <w:r w:rsidRPr="005C2ED3">
        <w:rPr>
          <w:iCs/>
        </w:rPr>
        <w:t>.</w:t>
      </w:r>
    </w:p>
    <w:p w:rsidR="00BC25AB" w:rsidRDefault="00BC25AB" w:rsidP="00CA6421">
      <w:pPr>
        <w:pStyle w:val="Zv-TitleReferences-ru"/>
        <w:spacing w:line="228" w:lineRule="auto"/>
      </w:pPr>
      <w:r>
        <w:t>Литература</w:t>
      </w:r>
    </w:p>
    <w:p w:rsidR="00BC25AB" w:rsidRPr="005C2ED3" w:rsidRDefault="00BC25AB" w:rsidP="00CA6421">
      <w:pPr>
        <w:pStyle w:val="Zv-References-ru"/>
        <w:numPr>
          <w:ilvl w:val="0"/>
          <w:numId w:val="1"/>
        </w:numPr>
        <w:spacing w:line="228" w:lineRule="auto"/>
        <w:rPr>
          <w:lang w:val="en-US"/>
        </w:rPr>
      </w:pPr>
      <w:r>
        <w:rPr>
          <w:lang w:val="en-US"/>
        </w:rPr>
        <w:t xml:space="preserve">V.A. Krupin et.al. </w:t>
      </w:r>
      <w:r w:rsidRPr="00CD76C5">
        <w:rPr>
          <w:lang w:val="en-US"/>
        </w:rPr>
        <w:t>Plasma Phys. Control. Fusion 60 (2018) 115003 (20pp)</w:t>
      </w:r>
    </w:p>
    <w:sectPr w:rsidR="00BC25AB" w:rsidRPr="005C2ED3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5C2B" w:rsidRDefault="00A65C2B">
      <w:r>
        <w:separator/>
      </w:r>
    </w:p>
  </w:endnote>
  <w:endnote w:type="continuationSeparator" w:id="0">
    <w:p w:rsidR="00A65C2B" w:rsidRDefault="00A65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30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630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A642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5C2B" w:rsidRDefault="00A65C2B">
      <w:r>
        <w:separator/>
      </w:r>
    </w:p>
  </w:footnote>
  <w:footnote w:type="continuationSeparator" w:id="0">
    <w:p w:rsidR="00A65C2B" w:rsidRDefault="00A65C2B">
      <w:r>
        <w:continuationSeparator/>
      </w:r>
    </w:p>
  </w:footnote>
  <w:footnote w:id="1">
    <w:p w:rsidR="00053CE4" w:rsidRPr="00053CE4" w:rsidRDefault="00053CE4">
      <w:pPr>
        <w:pStyle w:val="ab"/>
        <w:rPr>
          <w:sz w:val="22"/>
          <w:szCs w:val="22"/>
          <w:lang w:val="en-US"/>
        </w:rPr>
      </w:pPr>
      <w:r w:rsidRPr="00053CE4">
        <w:rPr>
          <w:rStyle w:val="ad"/>
          <w:sz w:val="22"/>
          <w:szCs w:val="22"/>
        </w:rPr>
        <w:t>*)</w:t>
      </w:r>
      <w:r w:rsidRPr="00053CE4">
        <w:rPr>
          <w:sz w:val="22"/>
          <w:szCs w:val="22"/>
        </w:rPr>
        <w:t xml:space="preserve">  </w:t>
      </w:r>
      <w:hyperlink r:id="rId1" w:history="1">
        <w:r w:rsidRPr="00053CE4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B630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5C2B"/>
    <w:rsid w:val="00037DCC"/>
    <w:rsid w:val="00043701"/>
    <w:rsid w:val="00053CE4"/>
    <w:rsid w:val="000C7078"/>
    <w:rsid w:val="000D76E9"/>
    <w:rsid w:val="000E495B"/>
    <w:rsid w:val="00140645"/>
    <w:rsid w:val="00171964"/>
    <w:rsid w:val="001C0CCB"/>
    <w:rsid w:val="00200AB2"/>
    <w:rsid w:val="00220629"/>
    <w:rsid w:val="0023435A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5C2B"/>
    <w:rsid w:val="00A66876"/>
    <w:rsid w:val="00A71613"/>
    <w:rsid w:val="00AB3459"/>
    <w:rsid w:val="00B622ED"/>
    <w:rsid w:val="00B63099"/>
    <w:rsid w:val="00B9584E"/>
    <w:rsid w:val="00BC25AB"/>
    <w:rsid w:val="00BD05EF"/>
    <w:rsid w:val="00C103CD"/>
    <w:rsid w:val="00C232A0"/>
    <w:rsid w:val="00CA6421"/>
    <w:rsid w:val="00CA791E"/>
    <w:rsid w:val="00CE0E75"/>
    <w:rsid w:val="00D33476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5AB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BC25AB"/>
    <w:rPr>
      <w:color w:val="0000FF" w:themeColor="hyperlink"/>
      <w:u w:val="single"/>
    </w:rPr>
  </w:style>
  <w:style w:type="table" w:styleId="a8">
    <w:name w:val="Table Grid"/>
    <w:basedOn w:val="a1"/>
    <w:rsid w:val="00BC25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BC2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BC25AB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053CE4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053CE4"/>
  </w:style>
  <w:style w:type="character" w:styleId="ad">
    <w:name w:val="footnote reference"/>
    <w:basedOn w:val="a0"/>
    <w:rsid w:val="00053CE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emtsov_ia@nrcki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J-Zemts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94D217-387F-4498-A699-7286D9127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4</TotalTime>
  <Pages>1</Pages>
  <Words>347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ИСТОЧНИКА ЗАРЯЖЕННЫХ ЧАСТИЦ С ПОМОЩЬЮ СПЕКТРАЛЬНЫХ ДИАГНОСТИК НА ТОКАМАКЕ Т-10</dc:title>
  <dc:creator>sato</dc:creator>
  <cp:lastModifiedBy>Сатунин</cp:lastModifiedBy>
  <cp:revision>3</cp:revision>
  <cp:lastPrinted>1601-01-01T00:00:00Z</cp:lastPrinted>
  <dcterms:created xsi:type="dcterms:W3CDTF">2020-02-14T20:35:00Z</dcterms:created>
  <dcterms:modified xsi:type="dcterms:W3CDTF">2020-04-20T16:57:00Z</dcterms:modified>
</cp:coreProperties>
</file>