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78" w:rsidRPr="00F871F5" w:rsidRDefault="00766A78" w:rsidP="00766A78">
      <w:pPr>
        <w:pStyle w:val="Zv-Titlereport"/>
      </w:pPr>
      <w:r>
        <w:t>О МГД-КОЛЕБАНИЯХ СТОЛБА ПЛАЗМЫ КОНЕЧНОЙ ПРОВОДИМОСТИ В ПРИСУТСТВИИ СКАЧКА ПАРАМЕТРОВ В ПРИСТЕНОЧНОЙ ОБЛАСТИ</w:t>
      </w:r>
      <w:r w:rsidR="00F871F5" w:rsidRPr="00F871F5">
        <w:t xml:space="preserve"> </w:t>
      </w:r>
      <w:r w:rsidR="00F871F5">
        <w:rPr>
          <w:rStyle w:val="aa"/>
        </w:rPr>
        <w:footnoteReference w:customMarkFollows="1" w:id="1"/>
        <w:t>*)</w:t>
      </w:r>
    </w:p>
    <w:p w:rsidR="00766A78" w:rsidRPr="00AA2E8D" w:rsidRDefault="00766A78" w:rsidP="00766A78">
      <w:pPr>
        <w:pStyle w:val="Zv-Author"/>
      </w:pPr>
      <w:r w:rsidRPr="00AA2E8D">
        <w:t>Арсенин</w:t>
      </w:r>
      <w:r w:rsidRPr="007E3301">
        <w:t xml:space="preserve"> </w:t>
      </w:r>
      <w:r w:rsidRPr="00AA2E8D">
        <w:t>В.В.</w:t>
      </w:r>
    </w:p>
    <w:p w:rsidR="00766A78" w:rsidRPr="00766A78" w:rsidRDefault="00766A78" w:rsidP="00766A78">
      <w:pPr>
        <w:pStyle w:val="Zv-Organization"/>
      </w:pPr>
      <w:r w:rsidRPr="00DF69C3">
        <w:t xml:space="preserve">Национальный исследовательский центр "Курчатовский институт", Москва, Россия, </w:t>
      </w:r>
      <w:hyperlink r:id="rId8" w:history="1">
        <w:r w:rsidRPr="004E4D77">
          <w:rPr>
            <w:rStyle w:val="a7"/>
          </w:rPr>
          <w:t>Arsenin_VV@nrcki.ru</w:t>
        </w:r>
      </w:hyperlink>
    </w:p>
    <w:p w:rsidR="00766A78" w:rsidRPr="00F115CE" w:rsidRDefault="00766A78" w:rsidP="00766A78">
      <w:pPr>
        <w:pStyle w:val="Zv-bodyreport"/>
      </w:pPr>
      <w:r w:rsidRPr="004B5B2A">
        <w:t xml:space="preserve">В модели прямого цилиндра с сильным продольным магнитным полем изучаются МГД-колебания плазмы конечной проводимости [1, 2]. При высокой, но конечной проводимости вдоль поля, </w:t>
      </w:r>
      <w:r w:rsidRPr="004B5B2A">
        <w:rPr>
          <w:position w:val="-14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9.5pt" o:ole="">
            <v:imagedata r:id="rId9" o:title=""/>
          </v:shape>
          <o:OLEObject Type="Embed" ProgID="Equation.DSMT4" ShapeID="_x0000_i1025" DrawAspect="Content" ObjectID="_1648913264" r:id="rId10"/>
        </w:object>
      </w:r>
      <w:r w:rsidRPr="004B5B2A">
        <w:t xml:space="preserve">, и плавных профилях невозмущенных величин в уравнениях колебаний есть два радиальных масштаба: радиус шнура </w:t>
      </w:r>
      <w:r w:rsidRPr="004B5B2A">
        <w:rPr>
          <w:i/>
        </w:rPr>
        <w:t>a</w:t>
      </w:r>
      <w:r w:rsidRPr="004B5B2A">
        <w:t xml:space="preserve"> и длина</w:t>
      </w:r>
      <w:r w:rsidRPr="004B5B2A">
        <w:rPr>
          <w:position w:val="-14"/>
        </w:rPr>
        <w:object w:dxaOrig="2439" w:dyaOrig="400">
          <v:shape id="_x0000_i1026" type="#_x0000_t75" style="width:121.5pt;height:19.5pt" o:ole="">
            <v:imagedata r:id="rId11" o:title=""/>
          </v:shape>
          <o:OLEObject Type="Embed" ProgID="Equation.DSMT4" ShapeID="_x0000_i1026" DrawAspect="Content" ObjectID="_1648913265" r:id="rId12"/>
        </w:object>
      </w:r>
      <w:r w:rsidRPr="004B5B2A">
        <w:t>. Собственная функция, вообще говоря, содержит крупномасштабную и мелкомасштабную составляющие. При этом крупномасштабные решения мало отличаются от решений в идеальной МГД (</w:t>
      </w:r>
      <w:r w:rsidRPr="004B5B2A">
        <w:rPr>
          <w:position w:val="-14"/>
        </w:rPr>
        <w:object w:dxaOrig="700" w:dyaOrig="380">
          <v:shape id="_x0000_i1027" type="#_x0000_t75" style="width:34.5pt;height:19.5pt" o:ole="">
            <v:imagedata r:id="rId13" o:title=""/>
          </v:shape>
          <o:OLEObject Type="Embed" ProgID="Equation.DSMT4" ShapeID="_x0000_i1027" DrawAspect="Content" ObjectID="_1648913266" r:id="rId14"/>
        </w:object>
      </w:r>
      <w:r w:rsidRPr="004B5B2A">
        <w:t xml:space="preserve">). Мелкомасштабная составляющая проявляется, при данных волновых числах </w:t>
      </w:r>
      <w:r w:rsidRPr="00F115CE">
        <w:rPr>
          <w:i/>
          <w:lang w:val="en-US"/>
        </w:rPr>
        <w:t>m</w:t>
      </w:r>
      <w:r w:rsidRPr="004B5B2A">
        <w:t xml:space="preserve"> и</w:t>
      </w:r>
      <w:r w:rsidRPr="00F115CE">
        <w:t xml:space="preserve"> </w:t>
      </w:r>
      <w:r w:rsidRPr="00F115CE">
        <w:rPr>
          <w:i/>
          <w:lang w:val="en-US"/>
        </w:rPr>
        <w:t>n</w:t>
      </w:r>
      <w:r w:rsidRPr="004B5B2A">
        <w:t>,  около резонансной поверхности</w:t>
      </w:r>
      <w:r w:rsidRPr="00F115CE">
        <w:t xml:space="preserve"> </w:t>
      </w:r>
      <w:r w:rsidRPr="00F115CE">
        <w:rPr>
          <w:position w:val="-10"/>
        </w:rPr>
        <w:object w:dxaOrig="920" w:dyaOrig="320">
          <v:shape id="_x0000_i1028" type="#_x0000_t75" style="width:46.5pt;height:16.5pt" o:ole="">
            <v:imagedata r:id="rId15" o:title=""/>
          </v:shape>
          <o:OLEObject Type="Embed" ProgID="Equation.DSMT4" ShapeID="_x0000_i1028" DrawAspect="Content" ObjectID="_1648913267" r:id="rId16"/>
        </w:object>
      </w:r>
      <w:r w:rsidRPr="004B5B2A">
        <w:t>, если таковая имеется в плазме; она важна, в частности, в тиринг-моде. В представляемом докладе рассматривается ситуация, когда такой резонанс отсутствует, но на периферии плазмы есть магнитная поверхность, возле которой невозмущенные величины  сильно неоднородны (испытывают "скачок") на толщине</w:t>
      </w:r>
      <w:r w:rsidRPr="00F115CE">
        <w:t xml:space="preserve"> </w:t>
      </w:r>
      <w:r w:rsidRPr="00F115CE">
        <w:rPr>
          <w:position w:val="-6"/>
        </w:rPr>
        <w:object w:dxaOrig="400" w:dyaOrig="279">
          <v:shape id="_x0000_i1029" type="#_x0000_t75" style="width:19.5pt;height:13.5pt" o:ole="">
            <v:imagedata r:id="rId17" o:title=""/>
          </v:shape>
          <o:OLEObject Type="Embed" ProgID="Equation.DSMT4" ShapeID="_x0000_i1029" DrawAspect="Content" ObjectID="_1648913268" r:id="rId18"/>
        </w:object>
      </w:r>
      <w:r w:rsidRPr="004B5B2A">
        <w:t xml:space="preserve">. Разобраны два случая: в одном амплитуды мелкомасштабной компоненты возмущения вектор-потенциала, </w:t>
      </w:r>
      <w:r w:rsidRPr="00F115CE">
        <w:rPr>
          <w:position w:val="-12"/>
        </w:rPr>
        <w:object w:dxaOrig="300" w:dyaOrig="380">
          <v:shape id="_x0000_i1030" type="#_x0000_t75" style="width:15pt;height:19.5pt" o:ole="">
            <v:imagedata r:id="rId19" o:title=""/>
          </v:shape>
          <o:OLEObject Type="Embed" ProgID="Equation.DSMT4" ShapeID="_x0000_i1030" DrawAspect="Content" ObjectID="_1648913269" r:id="rId20"/>
        </w:object>
      </w:r>
      <w:r w:rsidRPr="004B5B2A">
        <w:t xml:space="preserve">, и  крупномасштабной, </w:t>
      </w:r>
      <w:r w:rsidRPr="00F115CE">
        <w:rPr>
          <w:position w:val="-12"/>
        </w:rPr>
        <w:object w:dxaOrig="300" w:dyaOrig="380">
          <v:shape id="_x0000_i1031" type="#_x0000_t75" style="width:15pt;height:19.5pt" o:ole="">
            <v:imagedata r:id="rId21" o:title=""/>
          </v:shape>
          <o:OLEObject Type="Embed" ProgID="Equation.DSMT4" ShapeID="_x0000_i1031" DrawAspect="Content" ObjectID="_1648913270" r:id="rId22"/>
        </w:object>
      </w:r>
      <w:r w:rsidRPr="004B5B2A">
        <w:t>, одного порядка величины; в другом -</w:t>
      </w:r>
      <w:r w:rsidRPr="00F115CE">
        <w:t xml:space="preserve"> </w:t>
      </w:r>
      <w:r w:rsidRPr="00F115CE">
        <w:rPr>
          <w:position w:val="-12"/>
        </w:rPr>
        <w:object w:dxaOrig="1420" w:dyaOrig="380">
          <v:shape id="_x0000_i1032" type="#_x0000_t75" style="width:70.5pt;height:19.5pt" o:ole="">
            <v:imagedata r:id="rId23" o:title=""/>
          </v:shape>
          <o:OLEObject Type="Embed" ProgID="Equation.DSMT4" ShapeID="_x0000_i1032" DrawAspect="Content" ObjectID="_1648913271" r:id="rId24"/>
        </w:object>
      </w:r>
      <w:r w:rsidRPr="004B5B2A">
        <w:t>.</w:t>
      </w:r>
    </w:p>
    <w:p w:rsidR="00766A78" w:rsidRPr="007E3301" w:rsidRDefault="00766A78" w:rsidP="00766A78">
      <w:pPr>
        <w:pStyle w:val="Zv-TitleReferences-ru"/>
      </w:pPr>
      <w:r>
        <w:t>Литература</w:t>
      </w:r>
    </w:p>
    <w:p w:rsidR="00766A78" w:rsidRPr="006C16FF" w:rsidRDefault="00766A78" w:rsidP="00766A78">
      <w:pPr>
        <w:pStyle w:val="Zv-References-ru"/>
        <w:numPr>
          <w:ilvl w:val="0"/>
          <w:numId w:val="1"/>
        </w:numPr>
        <w:rPr>
          <w:lang w:val="en-US"/>
        </w:rPr>
      </w:pPr>
      <w:r w:rsidRPr="006C16FF">
        <w:t xml:space="preserve">Кадомцев Б.Б., Погуце О.П. Вопросы теории плазмы. Вып. 5 / </w:t>
      </w:r>
      <w:r>
        <w:t xml:space="preserve">Под ред. М.А. Леонтовича. </w:t>
      </w:r>
      <w:r w:rsidRPr="006C16FF">
        <w:t>М</w:t>
      </w:r>
      <w:r w:rsidRPr="006C16FF">
        <w:rPr>
          <w:lang w:val="en-US"/>
        </w:rPr>
        <w:t xml:space="preserve">.: </w:t>
      </w:r>
      <w:r w:rsidRPr="006C16FF">
        <w:t>Атомиздат</w:t>
      </w:r>
      <w:r w:rsidRPr="006C16FF">
        <w:rPr>
          <w:lang w:val="en-US"/>
        </w:rPr>
        <w:t xml:space="preserve">, 1967. </w:t>
      </w:r>
      <w:r w:rsidRPr="006C16FF">
        <w:t>С</w:t>
      </w:r>
      <w:r w:rsidRPr="006C16FF">
        <w:rPr>
          <w:lang w:val="en-US"/>
        </w:rPr>
        <w:t>. 209.</w:t>
      </w:r>
    </w:p>
    <w:p w:rsidR="00766A78" w:rsidRPr="006C16FF" w:rsidRDefault="00766A78" w:rsidP="00766A78">
      <w:pPr>
        <w:pStyle w:val="Zv-References-ru"/>
        <w:numPr>
          <w:ilvl w:val="0"/>
          <w:numId w:val="1"/>
        </w:numPr>
        <w:rPr>
          <w:lang w:val="en-US"/>
        </w:rPr>
      </w:pPr>
      <w:r w:rsidRPr="006C16FF">
        <w:rPr>
          <w:lang w:val="en-US"/>
        </w:rPr>
        <w:t xml:space="preserve"> Rutherford P.H., Furth H.P., Rosenbluth M.N. Plasma Phys. Controlled Nuclear Fusion Res. (Proc. IV IAEA Conf., Madison, 1971/ CN 28/F16). Vienna: IAEA, 1971. V. II. P. 553.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5"/>
      <w:footerReference w:type="even" r:id="rId26"/>
      <w:footerReference w:type="default" r:id="rId2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EA" w:rsidRDefault="00FF1AEA">
      <w:r>
        <w:separator/>
      </w:r>
    </w:p>
  </w:endnote>
  <w:endnote w:type="continuationSeparator" w:id="0">
    <w:p w:rsidR="00FF1AEA" w:rsidRDefault="00FF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17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C17D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1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EA" w:rsidRDefault="00FF1AEA">
      <w:r>
        <w:separator/>
      </w:r>
    </w:p>
  </w:footnote>
  <w:footnote w:type="continuationSeparator" w:id="0">
    <w:p w:rsidR="00FF1AEA" w:rsidRDefault="00FF1AEA">
      <w:r>
        <w:continuationSeparator/>
      </w:r>
    </w:p>
  </w:footnote>
  <w:footnote w:id="1">
    <w:p w:rsidR="00F871F5" w:rsidRPr="00F871F5" w:rsidRDefault="00F871F5">
      <w:pPr>
        <w:pStyle w:val="a8"/>
        <w:rPr>
          <w:sz w:val="22"/>
          <w:szCs w:val="22"/>
          <w:lang w:val="en-US"/>
        </w:rPr>
      </w:pPr>
      <w:r w:rsidRPr="00F871F5">
        <w:rPr>
          <w:rStyle w:val="aa"/>
          <w:sz w:val="22"/>
          <w:szCs w:val="22"/>
        </w:rPr>
        <w:t>*)</w:t>
      </w:r>
      <w:r w:rsidRPr="00F871F5">
        <w:rPr>
          <w:sz w:val="22"/>
          <w:szCs w:val="22"/>
        </w:rPr>
        <w:t xml:space="preserve">  </w:t>
      </w:r>
      <w:hyperlink r:id="rId1" w:history="1">
        <w:r w:rsidRPr="00F871F5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C17D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AEA"/>
    <w:rsid w:val="00037DCC"/>
    <w:rsid w:val="00043701"/>
    <w:rsid w:val="000C7078"/>
    <w:rsid w:val="000D76E9"/>
    <w:rsid w:val="000E495B"/>
    <w:rsid w:val="00140645"/>
    <w:rsid w:val="00171964"/>
    <w:rsid w:val="001C0CCB"/>
    <w:rsid w:val="001C17DF"/>
    <w:rsid w:val="00200AB2"/>
    <w:rsid w:val="00220629"/>
    <w:rsid w:val="00247225"/>
    <w:rsid w:val="002A2396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66A78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871F5"/>
    <w:rsid w:val="00F95123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A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6A7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871F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871F5"/>
  </w:style>
  <w:style w:type="character" w:styleId="aa">
    <w:name w:val="footnote reference"/>
    <w:basedOn w:val="a0"/>
    <w:rsid w:val="00F871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in_VV@nrck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H-Arse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AA58-6701-442A-BB98-7678A674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210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МГД-КОЛЕБАНИЯХ СТОЛБА ПЛАЗМЫ КОНЕЧНОЙ ПРОВОДИМОСТИ В ПРИСУТСТВИИ СКАЧКА ПАРАМЕТРОВ В ПРИСТЕНОЧНОЙ ОБЛАСТИ</dc:title>
  <dc:creator>sato</dc:creator>
  <cp:lastModifiedBy>Сатунин</cp:lastModifiedBy>
  <cp:revision>2</cp:revision>
  <cp:lastPrinted>1601-01-01T00:00:00Z</cp:lastPrinted>
  <dcterms:created xsi:type="dcterms:W3CDTF">2020-02-14T18:44:00Z</dcterms:created>
  <dcterms:modified xsi:type="dcterms:W3CDTF">2020-04-20T15:40:00Z</dcterms:modified>
</cp:coreProperties>
</file>