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C5A" w:rsidRPr="00D403C1" w:rsidRDefault="00B30C5A" w:rsidP="00B30C5A">
      <w:pPr>
        <w:pStyle w:val="Zv-Titlereport"/>
      </w:pPr>
      <w:r w:rsidRPr="00B823B5">
        <w:t>Малоаспектный cверхпроводящий токамак с полем 5 Т</w:t>
      </w:r>
      <w:r>
        <w:rPr>
          <w:caps w:val="0"/>
        </w:rPr>
        <w:t>л</w:t>
      </w:r>
      <w:r w:rsidR="00D403C1" w:rsidRPr="00D403C1">
        <w:rPr>
          <w:caps w:val="0"/>
        </w:rPr>
        <w:t xml:space="preserve"> </w:t>
      </w:r>
      <w:r w:rsidR="00D403C1">
        <w:rPr>
          <w:rStyle w:val="aa"/>
          <w:caps w:val="0"/>
        </w:rPr>
        <w:footnoteReference w:customMarkFollows="1" w:id="1"/>
        <w:t>*)</w:t>
      </w:r>
    </w:p>
    <w:p w:rsidR="00B30C5A" w:rsidRDefault="00B30C5A" w:rsidP="00B30C5A">
      <w:pPr>
        <w:pStyle w:val="Zv-Author"/>
      </w:pPr>
      <w:r w:rsidRPr="00B823B5">
        <w:t>Иванов Д.П., Анашкин И.O., Мельников</w:t>
      </w:r>
      <w:r w:rsidRPr="000279B3">
        <w:t xml:space="preserve"> </w:t>
      </w:r>
      <w:r w:rsidRPr="00B823B5">
        <w:t>А</w:t>
      </w:r>
      <w:r w:rsidRPr="000279B3">
        <w:t>.</w:t>
      </w:r>
      <w:r w:rsidRPr="007028A9">
        <w:rPr>
          <w:color w:val="000000" w:themeColor="text1"/>
        </w:rPr>
        <w:t>В</w:t>
      </w:r>
      <w:r w:rsidRPr="000279B3">
        <w:rPr>
          <w:color w:val="000000" w:themeColor="text1"/>
        </w:rPr>
        <w:t>.</w:t>
      </w:r>
      <w:r w:rsidRPr="00B823B5">
        <w:t>, Коробов К.В., Д</w:t>
      </w:r>
      <w:r>
        <w:t>южев</w:t>
      </w:r>
      <w:r w:rsidRPr="00B823B5">
        <w:t xml:space="preserve"> </w:t>
      </w:r>
      <w:r>
        <w:t>В</w:t>
      </w:r>
      <w:r w:rsidRPr="00B823B5">
        <w:t>.</w:t>
      </w:r>
      <w:r>
        <w:t>Е</w:t>
      </w:r>
      <w:r w:rsidRPr="00B823B5">
        <w:t>., Новиков</w:t>
      </w:r>
      <w:r>
        <w:rPr>
          <w:lang w:val="en-US"/>
        </w:rPr>
        <w:t> </w:t>
      </w:r>
      <w:r w:rsidRPr="00B823B5">
        <w:t>А.С., Новиков С.И., Лысенко С.Е.</w:t>
      </w:r>
    </w:p>
    <w:p w:rsidR="00B30C5A" w:rsidRDefault="00B30C5A" w:rsidP="00B30C5A">
      <w:pPr>
        <w:pStyle w:val="Zv-Organization"/>
      </w:pPr>
      <w:r w:rsidRPr="006021D8">
        <w:t>НИЦ “Курчатовский институт”, Москва, Россия</w:t>
      </w:r>
      <w:r>
        <w:t xml:space="preserve">, </w:t>
      </w:r>
      <w:hyperlink r:id="rId8" w:history="1">
        <w:r w:rsidRPr="00E91D85">
          <w:rPr>
            <w:rStyle w:val="a7"/>
            <w:lang w:val="en-US"/>
          </w:rPr>
          <w:t>Ivanov</w:t>
        </w:r>
        <w:r w:rsidRPr="00E91D85">
          <w:rPr>
            <w:rStyle w:val="a7"/>
          </w:rPr>
          <w:t>_</w:t>
        </w:r>
        <w:r w:rsidRPr="00E91D85">
          <w:rPr>
            <w:rStyle w:val="a7"/>
            <w:lang w:val="en-US"/>
          </w:rPr>
          <w:t>DP</w:t>
        </w:r>
        <w:r w:rsidRPr="00E91D85">
          <w:rPr>
            <w:rStyle w:val="a7"/>
          </w:rPr>
          <w:t>@</w:t>
        </w:r>
        <w:r w:rsidRPr="00E91D85">
          <w:rPr>
            <w:rStyle w:val="a7"/>
            <w:lang w:val="en-US"/>
          </w:rPr>
          <w:t>nrcki</w:t>
        </w:r>
        <w:r w:rsidRPr="00E91D85">
          <w:rPr>
            <w:rStyle w:val="a7"/>
          </w:rPr>
          <w:t>.</w:t>
        </w:r>
        <w:r w:rsidRPr="00E91D85">
          <w:rPr>
            <w:rStyle w:val="a7"/>
            <w:lang w:val="en-US"/>
          </w:rPr>
          <w:t>ru</w:t>
        </w:r>
      </w:hyperlink>
    </w:p>
    <w:p w:rsidR="00B30C5A" w:rsidRPr="004E7312" w:rsidRDefault="00B30C5A" w:rsidP="00B30C5A">
      <w:pPr>
        <w:pStyle w:val="Zv-bodyreport"/>
        <w:rPr>
          <w:color w:val="000000"/>
          <w:kern w:val="24"/>
        </w:rPr>
      </w:pPr>
      <w:r w:rsidRPr="007028A9">
        <w:t xml:space="preserve">В настоящее время в Курчатовском Институте сооружается низкоаспектный вытянутый токамак T- 15 MД с водохлаждаемой обмоткой тороидального поля </w:t>
      </w:r>
      <w:r w:rsidRPr="000279B3">
        <w:t>[1, 2]</w:t>
      </w:r>
      <w:r>
        <w:t>.</w:t>
      </w:r>
      <w:r w:rsidRPr="007028A9">
        <w:t xml:space="preserve"> Этa машина имее</w:t>
      </w:r>
      <w:bookmarkStart w:id="0" w:name="_GoBack"/>
      <w:bookmarkEnd w:id="0"/>
      <w:r w:rsidRPr="007028A9">
        <w:t xml:space="preserve">т следующие параметры: </w:t>
      </w:r>
      <w:r w:rsidRPr="0086559F">
        <w:rPr>
          <w:i/>
        </w:rPr>
        <w:t>R</w:t>
      </w:r>
      <w:r w:rsidRPr="0086559F">
        <w:rPr>
          <w:vertAlign w:val="subscript"/>
        </w:rPr>
        <w:t> </w:t>
      </w:r>
      <w:r w:rsidRPr="007028A9">
        <w:t>= 1</w:t>
      </w:r>
      <w:r w:rsidRPr="000279B3">
        <w:t>.</w:t>
      </w:r>
      <w:r w:rsidRPr="007028A9">
        <w:t xml:space="preserve">5m, </w:t>
      </w:r>
      <w:r w:rsidRPr="0086559F">
        <w:rPr>
          <w:i/>
        </w:rPr>
        <w:t>a</w:t>
      </w:r>
      <w:r w:rsidRPr="0086559F">
        <w:rPr>
          <w:vertAlign w:val="subscript"/>
        </w:rPr>
        <w:t> </w:t>
      </w:r>
      <w:r w:rsidRPr="007028A9">
        <w:t>=</w:t>
      </w:r>
      <w:r w:rsidRPr="0086559F">
        <w:rPr>
          <w:vertAlign w:val="subscript"/>
        </w:rPr>
        <w:t> </w:t>
      </w:r>
      <w:r w:rsidRPr="007028A9">
        <w:t>0</w:t>
      </w:r>
      <w:r w:rsidRPr="000279B3">
        <w:t>.</w:t>
      </w:r>
      <w:r w:rsidRPr="007028A9">
        <w:t xml:space="preserve">67m, </w:t>
      </w:r>
      <w:r w:rsidRPr="0086559F">
        <w:rPr>
          <w:i/>
        </w:rPr>
        <w:t>B</w:t>
      </w:r>
      <w:r w:rsidRPr="0086559F">
        <w:rPr>
          <w:vertAlign w:val="subscript"/>
        </w:rPr>
        <w:t> </w:t>
      </w:r>
      <w:r>
        <w:sym w:font="Symbol" w:char="F0A3"/>
      </w:r>
      <w:r w:rsidRPr="0086559F">
        <w:rPr>
          <w:vertAlign w:val="subscript"/>
        </w:rPr>
        <w:t> </w:t>
      </w:r>
      <w:r w:rsidRPr="007028A9">
        <w:t>2 T</w:t>
      </w:r>
      <w:r>
        <w:t>л</w:t>
      </w:r>
      <w:r w:rsidRPr="007028A9">
        <w:t xml:space="preserve">, </w:t>
      </w:r>
      <w:r w:rsidRPr="0086559F">
        <w:rPr>
          <w:i/>
        </w:rPr>
        <w:t>I</w:t>
      </w:r>
      <w:r w:rsidRPr="0086559F">
        <w:rPr>
          <w:i/>
          <w:vertAlign w:val="subscript"/>
        </w:rPr>
        <w:t>p</w:t>
      </w:r>
      <w:r w:rsidRPr="0086559F">
        <w:rPr>
          <w:vertAlign w:val="subscript"/>
        </w:rPr>
        <w:t> </w:t>
      </w:r>
      <w:r>
        <w:sym w:font="Symbol" w:char="F0A3"/>
      </w:r>
      <w:r w:rsidRPr="007028A9">
        <w:t xml:space="preserve"> 2MA, вытянутость плазмы </w:t>
      </w:r>
      <w:r>
        <w:sym w:font="Symbol" w:char="F0A3"/>
      </w:r>
      <w:r w:rsidRPr="0086559F">
        <w:rPr>
          <w:vertAlign w:val="subscript"/>
        </w:rPr>
        <w:t> </w:t>
      </w:r>
      <w:r w:rsidRPr="007028A9">
        <w:t xml:space="preserve">2 и длительность разряда </w:t>
      </w:r>
      <w:r>
        <w:sym w:font="Symbol" w:char="F0A3"/>
      </w:r>
      <w:r w:rsidRPr="0086559F">
        <w:rPr>
          <w:vertAlign w:val="subscript"/>
        </w:rPr>
        <w:t> </w:t>
      </w:r>
      <w:r w:rsidRPr="007028A9">
        <w:t>10 с</w:t>
      </w:r>
      <w:r>
        <w:t>ек</w:t>
      </w:r>
      <w:r w:rsidRPr="007028A9">
        <w:t xml:space="preserve">. К сожалению, подобными параметрами обладают 4 </w:t>
      </w:r>
      <w:r>
        <w:t>установки</w:t>
      </w:r>
      <w:r w:rsidRPr="007028A9">
        <w:t xml:space="preserve"> в мире (</w:t>
      </w:r>
      <w:r w:rsidRPr="007028A9">
        <w:rPr>
          <w:lang w:val="en-US"/>
        </w:rPr>
        <w:t>DIII</w:t>
      </w:r>
      <w:r w:rsidRPr="000279B3">
        <w:t>-</w:t>
      </w:r>
      <w:r w:rsidRPr="007028A9">
        <w:rPr>
          <w:lang w:val="en-US"/>
        </w:rPr>
        <w:t>D</w:t>
      </w:r>
      <w:r w:rsidRPr="000279B3">
        <w:t xml:space="preserve">, </w:t>
      </w:r>
      <w:r w:rsidRPr="007028A9">
        <w:rPr>
          <w:lang w:val="en-US"/>
        </w:rPr>
        <w:t>ASDEX</w:t>
      </w:r>
      <w:r w:rsidRPr="000279B3">
        <w:t xml:space="preserve">, </w:t>
      </w:r>
      <w:r w:rsidRPr="007028A9">
        <w:rPr>
          <w:lang w:val="en-US"/>
        </w:rPr>
        <w:t>HL</w:t>
      </w:r>
      <w:r w:rsidRPr="000279B3">
        <w:t>-2</w:t>
      </w:r>
      <w:r w:rsidRPr="007028A9">
        <w:rPr>
          <w:lang w:val="en-US"/>
        </w:rPr>
        <w:t>A</w:t>
      </w:r>
      <w:r w:rsidRPr="000279B3">
        <w:t xml:space="preserve">, </w:t>
      </w:r>
      <w:r w:rsidRPr="007028A9">
        <w:rPr>
          <w:lang w:val="en-US"/>
        </w:rPr>
        <w:t>KSTAR</w:t>
      </w:r>
      <w:r w:rsidRPr="000279B3">
        <w:t>),</w:t>
      </w:r>
      <w:r w:rsidRPr="007028A9">
        <w:t xml:space="preserve"> работающие уже по </w:t>
      </w:r>
      <w:r>
        <w:t>1</w:t>
      </w:r>
      <w:r w:rsidRPr="007028A9">
        <w:t>0-30 лет</w:t>
      </w:r>
      <w:r w:rsidRPr="000279B3">
        <w:t xml:space="preserve">. </w:t>
      </w:r>
      <w:r w:rsidRPr="007028A9">
        <w:t>Чтобы не отставать далее в развитии программы, нам надо предусмотреть сооружение в недалёком будущем превосходящей машины с увеличенным полем и существенно более длительным импульсом плазмы. Оценки показывают что, используя наш большой опыт, это могла бы быть машина со сверхпроводящей обмоткой таких же размеров, как Т-15МД</w:t>
      </w:r>
      <w:r>
        <w:t>,</w:t>
      </w:r>
      <w:r w:rsidRPr="007028A9">
        <w:t xml:space="preserve"> но со стационарным полем около 5 Т</w:t>
      </w:r>
      <w:r>
        <w:t>л</w:t>
      </w:r>
      <w:r w:rsidRPr="007028A9">
        <w:t xml:space="preserve">. Для этого необходимо использовать технологию, предложенную нами для магнита ТИН ещё в 2014 году в докладе </w:t>
      </w:r>
      <w:r w:rsidRPr="000279B3">
        <w:t xml:space="preserve">[3], </w:t>
      </w:r>
      <w:r>
        <w:t>в которой о</w:t>
      </w:r>
      <w:r w:rsidRPr="007028A9">
        <w:t>бмотка</w:t>
      </w:r>
      <w:r w:rsidRPr="000279B3">
        <w:t xml:space="preserve"> </w:t>
      </w:r>
      <w:r w:rsidRPr="007028A9">
        <w:t>воспринимает часть нагрузки на корпуса катушек</w:t>
      </w:r>
      <w:r w:rsidRPr="000279B3">
        <w:t>,</w:t>
      </w:r>
      <w:r w:rsidRPr="007028A9">
        <w:t xml:space="preserve"> </w:t>
      </w:r>
      <w:r>
        <w:t>что помогает корпусу</w:t>
      </w:r>
      <w:r w:rsidRPr="007028A9">
        <w:t xml:space="preserve"> выдерж</w:t>
      </w:r>
      <w:r>
        <w:t>ивать</w:t>
      </w:r>
      <w:r w:rsidRPr="007028A9">
        <w:t xml:space="preserve"> огромные нагрузки от сильного магнитного поля в центральной части магнита.</w:t>
      </w:r>
      <w:r w:rsidRPr="00B7510D">
        <w:t xml:space="preserve"> </w:t>
      </w:r>
      <w:r w:rsidRPr="007028A9">
        <w:rPr>
          <w:rFonts w:cs="Calibri"/>
          <w:color w:val="000000"/>
          <w:kern w:val="24"/>
          <w:lang w:eastAsia="en-US"/>
        </w:rPr>
        <w:t>Предлагается использовать плоски</w:t>
      </w:r>
      <w:r>
        <w:rPr>
          <w:rFonts w:cs="Calibri"/>
          <w:color w:val="000000"/>
          <w:kern w:val="24"/>
          <w:lang w:eastAsia="en-US"/>
        </w:rPr>
        <w:t>е</w:t>
      </w:r>
      <w:r w:rsidRPr="007028A9">
        <w:rPr>
          <w:rFonts w:cs="Calibri"/>
          <w:color w:val="000000"/>
          <w:kern w:val="24"/>
          <w:lang w:eastAsia="en-US"/>
        </w:rPr>
        <w:t xml:space="preserve"> кабел</w:t>
      </w:r>
      <w:r>
        <w:rPr>
          <w:rFonts w:cs="Calibri"/>
          <w:color w:val="000000"/>
          <w:kern w:val="24"/>
          <w:lang w:eastAsia="en-US"/>
        </w:rPr>
        <w:t>и</w:t>
      </w:r>
      <w:r w:rsidRPr="007028A9">
        <w:rPr>
          <w:rFonts w:cs="Calibri"/>
          <w:color w:val="000000"/>
          <w:kern w:val="24"/>
          <w:lang w:eastAsia="en-US"/>
        </w:rPr>
        <w:t xml:space="preserve"> резерфордовского типа, изготовленны</w:t>
      </w:r>
      <w:r>
        <w:rPr>
          <w:rFonts w:cs="Calibri"/>
          <w:color w:val="000000"/>
          <w:kern w:val="24"/>
          <w:lang w:eastAsia="en-US"/>
        </w:rPr>
        <w:t>е</w:t>
      </w:r>
      <w:r w:rsidRPr="007028A9">
        <w:rPr>
          <w:rFonts w:cs="Calibri"/>
          <w:color w:val="000000"/>
          <w:kern w:val="24"/>
          <w:lang w:eastAsia="en-US"/>
        </w:rPr>
        <w:t xml:space="preserve"> из </w:t>
      </w:r>
      <w:r>
        <w:rPr>
          <w:rFonts w:cs="Calibri"/>
          <w:color w:val="000000"/>
          <w:kern w:val="24"/>
          <w:lang w:eastAsia="en-US"/>
        </w:rPr>
        <w:t>тре</w:t>
      </w:r>
      <w:r w:rsidRPr="007028A9">
        <w:rPr>
          <w:rFonts w:cs="Calibri"/>
          <w:color w:val="000000"/>
          <w:kern w:val="24"/>
          <w:lang w:eastAsia="en-US"/>
        </w:rPr>
        <w:t>хжильных субкабелей и дополнительно сложенны</w:t>
      </w:r>
      <w:r>
        <w:rPr>
          <w:rFonts w:cs="Calibri"/>
          <w:color w:val="000000"/>
          <w:kern w:val="24"/>
          <w:lang w:eastAsia="en-US"/>
        </w:rPr>
        <w:t>х</w:t>
      </w:r>
      <w:r w:rsidRPr="007028A9">
        <w:rPr>
          <w:rFonts w:cs="Calibri"/>
          <w:color w:val="000000"/>
          <w:kern w:val="24"/>
          <w:lang w:eastAsia="en-US"/>
        </w:rPr>
        <w:t xml:space="preserve"> </w:t>
      </w:r>
      <w:r>
        <w:rPr>
          <w:rFonts w:cs="Calibri"/>
          <w:color w:val="000000"/>
          <w:kern w:val="24"/>
          <w:lang w:eastAsia="en-US"/>
        </w:rPr>
        <w:t>вдоль оси</w:t>
      </w:r>
      <w:r w:rsidRPr="007028A9">
        <w:rPr>
          <w:rFonts w:cs="Calibri"/>
          <w:color w:val="000000"/>
          <w:kern w:val="24"/>
          <w:lang w:eastAsia="en-US"/>
        </w:rPr>
        <w:t>.</w:t>
      </w:r>
      <w:r w:rsidRPr="000279B3">
        <w:rPr>
          <w:rFonts w:cs="Calibri"/>
          <w:color w:val="000000"/>
          <w:kern w:val="24"/>
          <w:lang w:eastAsia="en-US"/>
        </w:rPr>
        <w:t xml:space="preserve"> </w:t>
      </w:r>
      <w:r>
        <w:rPr>
          <w:rFonts w:cs="Calibri"/>
          <w:color w:val="000000"/>
          <w:kern w:val="24"/>
          <w:lang w:eastAsia="en-US"/>
        </w:rPr>
        <w:t>К</w:t>
      </w:r>
      <w:r>
        <w:t>абели</w:t>
      </w:r>
      <w:r w:rsidRPr="007028A9">
        <w:t xml:space="preserve"> с</w:t>
      </w:r>
      <w:r>
        <w:t>одержат</w:t>
      </w:r>
      <w:r w:rsidRPr="007028A9">
        <w:t xml:space="preserve"> тр</w:t>
      </w:r>
      <w:r>
        <w:t>и</w:t>
      </w:r>
      <w:r w:rsidRPr="007028A9">
        <w:t xml:space="preserve"> типа сверхпроводников: ВТСП в области большого поля</w:t>
      </w:r>
      <w:r w:rsidRPr="000279B3">
        <w:t xml:space="preserve"> (</w:t>
      </w:r>
      <w:r>
        <w:t>9 –</w:t>
      </w:r>
      <w:r w:rsidRPr="007028A9">
        <w:t xml:space="preserve"> 12</w:t>
      </w:r>
      <w:r>
        <w:t>.5</w:t>
      </w:r>
      <w:r w:rsidRPr="007028A9">
        <w:t xml:space="preserve"> Тл</w:t>
      </w:r>
      <w:r w:rsidRPr="000279B3">
        <w:t>)</w:t>
      </w:r>
      <w:r w:rsidRPr="007028A9">
        <w:t xml:space="preserve">, </w:t>
      </w:r>
      <w:r w:rsidRPr="007028A9">
        <w:rPr>
          <w:lang w:val="en-US"/>
        </w:rPr>
        <w:t>Nb</w:t>
      </w:r>
      <w:r w:rsidRPr="000279B3">
        <w:rPr>
          <w:vertAlign w:val="subscript"/>
        </w:rPr>
        <w:t>3</w:t>
      </w:r>
      <w:r w:rsidRPr="007028A9">
        <w:rPr>
          <w:lang w:val="en-US"/>
        </w:rPr>
        <w:t>Sn</w:t>
      </w:r>
      <w:r w:rsidRPr="000279B3">
        <w:t xml:space="preserve"> </w:t>
      </w:r>
      <w:r w:rsidRPr="007028A9">
        <w:t>посередине</w:t>
      </w:r>
      <w:r w:rsidRPr="000279B3">
        <w:t xml:space="preserve"> (4-10</w:t>
      </w:r>
      <w:r w:rsidRPr="007028A9">
        <w:t xml:space="preserve"> Тл</w:t>
      </w:r>
      <w:r w:rsidRPr="000279B3">
        <w:t>)</w:t>
      </w:r>
      <w:r w:rsidRPr="007028A9">
        <w:t xml:space="preserve"> и </w:t>
      </w:r>
      <w:r w:rsidRPr="007028A9">
        <w:rPr>
          <w:lang w:val="en-US"/>
        </w:rPr>
        <w:t>NbTi</w:t>
      </w:r>
      <w:r w:rsidRPr="007028A9">
        <w:t xml:space="preserve"> снаружи. </w:t>
      </w:r>
      <w:r>
        <w:t>В</w:t>
      </w:r>
      <w:r w:rsidRPr="004E7312">
        <w:t>нешний корпус криостата</w:t>
      </w:r>
      <w:r>
        <w:t xml:space="preserve"> сварен из 3-4 мм пластин из нержавеющей стали. Тепловая изоляция сделана из </w:t>
      </w:r>
      <w:r w:rsidRPr="004E7312">
        <w:t>многослойн</w:t>
      </w:r>
      <w:r>
        <w:t>ого</w:t>
      </w:r>
      <w:r w:rsidRPr="004E7312">
        <w:t xml:space="preserve"> майлар</w:t>
      </w:r>
      <w:r>
        <w:t>а. А</w:t>
      </w:r>
      <w:r w:rsidRPr="004E7312">
        <w:t>зотный экран</w:t>
      </w:r>
      <w:r>
        <w:t xml:space="preserve"> </w:t>
      </w:r>
      <w:r w:rsidRPr="004E7312">
        <w:rPr>
          <w:color w:val="000000"/>
          <w:kern w:val="24"/>
        </w:rPr>
        <w:t>изготавливается из двух стальных листов</w:t>
      </w:r>
      <w:r>
        <w:rPr>
          <w:color w:val="000000"/>
          <w:kern w:val="24"/>
        </w:rPr>
        <w:t>,</w:t>
      </w:r>
      <w:r w:rsidRPr="004E7312">
        <w:rPr>
          <w:color w:val="000000"/>
          <w:kern w:val="24"/>
        </w:rPr>
        <w:t xml:space="preserve"> сваренных точечной сваркой и гидравлически раздутых. Катушки внутри криостата находятся в </w:t>
      </w:r>
      <w:r w:rsidRPr="004E7312">
        <w:t xml:space="preserve">вакууме. </w:t>
      </w:r>
      <w:r>
        <w:rPr>
          <w:rFonts w:cs="Calibri"/>
          <w:color w:val="000000"/>
          <w:kern w:val="24"/>
          <w:lang w:eastAsia="en-US"/>
        </w:rPr>
        <w:t>К</w:t>
      </w:r>
      <w:r w:rsidRPr="007028A9">
        <w:rPr>
          <w:rFonts w:cs="Calibri"/>
          <w:color w:val="000000"/>
          <w:kern w:val="24"/>
          <w:lang w:eastAsia="en-US"/>
        </w:rPr>
        <w:t>абели</w:t>
      </w:r>
      <w:r>
        <w:rPr>
          <w:rFonts w:cs="Calibri"/>
          <w:color w:val="000000"/>
          <w:kern w:val="24"/>
          <w:lang w:eastAsia="en-US"/>
        </w:rPr>
        <w:t xml:space="preserve">, технологии изготовления экрана и изоляции широко </w:t>
      </w:r>
      <w:r w:rsidRPr="007028A9">
        <w:rPr>
          <w:rFonts w:cs="Calibri"/>
          <w:color w:val="000000"/>
          <w:kern w:val="24"/>
          <w:lang w:eastAsia="en-US"/>
        </w:rPr>
        <w:t>используют</w:t>
      </w:r>
      <w:r>
        <w:rPr>
          <w:rFonts w:cs="Calibri"/>
          <w:color w:val="000000"/>
          <w:kern w:val="24"/>
          <w:lang w:eastAsia="en-US"/>
        </w:rPr>
        <w:t>с</w:t>
      </w:r>
      <w:r w:rsidRPr="007028A9">
        <w:rPr>
          <w:rFonts w:cs="Calibri"/>
          <w:color w:val="000000"/>
          <w:kern w:val="24"/>
          <w:lang w:eastAsia="en-US"/>
        </w:rPr>
        <w:t>я в ускорителях.</w:t>
      </w:r>
    </w:p>
    <w:p w:rsidR="00B30C5A" w:rsidRDefault="00B30C5A" w:rsidP="00B30C5A">
      <w:pPr>
        <w:pStyle w:val="Zv-bodyreport"/>
        <w:rPr>
          <w:rFonts w:cs="Calibri"/>
          <w:color w:val="000000"/>
          <w:kern w:val="24"/>
          <w:lang w:eastAsia="en-US"/>
        </w:rPr>
      </w:pPr>
      <w:r>
        <w:t xml:space="preserve">Катушки </w:t>
      </w:r>
      <w:r w:rsidRPr="007028A9">
        <w:t>охлажд</w:t>
      </w:r>
      <w:r>
        <w:t>аются</w:t>
      </w:r>
      <w:r w:rsidRPr="007028A9">
        <w:t xml:space="preserve"> потоком жидкого </w:t>
      </w:r>
      <w:r w:rsidRPr="007028A9">
        <w:rPr>
          <w:lang w:val="en-US"/>
        </w:rPr>
        <w:t>He</w:t>
      </w:r>
      <w:r w:rsidRPr="007028A9">
        <w:t xml:space="preserve"> низкого давления, протекающего сквозь многочисленные тонкие каналы</w:t>
      </w:r>
      <w:r>
        <w:t>. В</w:t>
      </w:r>
      <w:r w:rsidRPr="007028A9">
        <w:t>озможно</w:t>
      </w:r>
      <w:r>
        <w:t xml:space="preserve"> использование многочисленных</w:t>
      </w:r>
      <w:r w:rsidRPr="007028A9">
        <w:t xml:space="preserve"> кулер</w:t>
      </w:r>
      <w:r>
        <w:t>ов</w:t>
      </w:r>
      <w:r w:rsidRPr="007028A9">
        <w:t xml:space="preserve"> вместо большой криогенной системы</w:t>
      </w:r>
      <w:r>
        <w:t>.</w:t>
      </w:r>
      <w:r w:rsidRPr="007028A9">
        <w:t xml:space="preserve"> Сдвиг внешней части катушки на 20 см наружу относительно </w:t>
      </w:r>
      <w:r>
        <w:t xml:space="preserve">установленной в </w:t>
      </w:r>
      <w:r w:rsidRPr="007028A9">
        <w:t>Т-15МД приводит к уменьшению гофрировки тороидального поля на внешней границе плазмы с 1</w:t>
      </w:r>
      <w:r w:rsidRPr="0086559F">
        <w:rPr>
          <w:vertAlign w:val="subscript"/>
        </w:rPr>
        <w:t> </w:t>
      </w:r>
      <w:r w:rsidRPr="007028A9">
        <w:t>%</w:t>
      </w:r>
      <w:r>
        <w:t xml:space="preserve"> </w:t>
      </w:r>
      <w:r w:rsidRPr="007028A9">
        <w:t>до 0.35</w:t>
      </w:r>
      <w:r w:rsidRPr="0086559F">
        <w:rPr>
          <w:vertAlign w:val="subscript"/>
        </w:rPr>
        <w:t> </w:t>
      </w:r>
      <w:r w:rsidRPr="007028A9">
        <w:t>%. Изменение формы катушки прив</w:t>
      </w:r>
      <w:r>
        <w:t>е</w:t>
      </w:r>
      <w:r w:rsidRPr="007028A9">
        <w:t>д</w:t>
      </w:r>
      <w:r>
        <w:t>е</w:t>
      </w:r>
      <w:r w:rsidRPr="007028A9">
        <w:t xml:space="preserve">т к увеличению горизонтальных углов доступа к патрубкам, что является критически важным для нагревных пучков и ряда диагностик. </w:t>
      </w:r>
      <w:r>
        <w:t xml:space="preserve">В магнитной системе будет использован </w:t>
      </w:r>
      <w:r w:rsidRPr="007028A9">
        <w:t>опыт</w:t>
      </w:r>
      <w:r>
        <w:t>,</w:t>
      </w:r>
      <w:r w:rsidRPr="007028A9">
        <w:t xml:space="preserve"> </w:t>
      </w:r>
      <w:r>
        <w:t xml:space="preserve">полученный </w:t>
      </w:r>
      <w:r w:rsidRPr="007028A9">
        <w:t>в постройке и запуске СП магнитов в Китае, Корее и Индии с нашей помощью.</w:t>
      </w:r>
    </w:p>
    <w:p w:rsidR="00B30C5A" w:rsidRDefault="00B30C5A" w:rsidP="00B30C5A">
      <w:pPr>
        <w:pStyle w:val="Zv-TitleReferences-ru"/>
      </w:pPr>
      <w:r>
        <w:t>Литература</w:t>
      </w:r>
    </w:p>
    <w:p w:rsidR="00B30C5A" w:rsidRPr="00F7280B" w:rsidRDefault="00B30C5A" w:rsidP="00B30C5A">
      <w:pPr>
        <w:pStyle w:val="Zv-References-ru"/>
        <w:numPr>
          <w:ilvl w:val="0"/>
          <w:numId w:val="1"/>
        </w:numPr>
      </w:pPr>
      <w:r w:rsidRPr="000279B3">
        <w:rPr>
          <w:lang w:val="en-US"/>
        </w:rPr>
        <w:t>Khvostenko P. P.</w:t>
      </w:r>
      <w:r>
        <w:rPr>
          <w:lang w:val="en-US"/>
        </w:rPr>
        <w:t>,</w:t>
      </w:r>
      <w:r w:rsidRPr="000279B3">
        <w:rPr>
          <w:lang w:val="en-US"/>
        </w:rPr>
        <w:t xml:space="preserve"> Azizov E. A</w:t>
      </w:r>
      <w:r>
        <w:rPr>
          <w:lang w:val="en-US"/>
        </w:rPr>
        <w:t>.,</w:t>
      </w:r>
      <w:r w:rsidRPr="000279B3">
        <w:rPr>
          <w:lang w:val="en-US"/>
        </w:rPr>
        <w:t xml:space="preserve"> et al. </w:t>
      </w:r>
      <w:r w:rsidRPr="000F713C">
        <w:t>Fusion Eng. Design 98-99 B (2015) 1090-1093</w:t>
      </w:r>
    </w:p>
    <w:p w:rsidR="00B30C5A" w:rsidRDefault="00B30C5A" w:rsidP="00B30C5A">
      <w:pPr>
        <w:pStyle w:val="Zv-References-ru"/>
        <w:numPr>
          <w:ilvl w:val="0"/>
          <w:numId w:val="1"/>
        </w:numPr>
      </w:pPr>
      <w:r>
        <w:rPr>
          <w:lang w:val="en-US"/>
        </w:rPr>
        <w:t xml:space="preserve">Melnikov, A.V., Sushkov, A.V., </w:t>
      </w:r>
      <w:r w:rsidRPr="000279B3">
        <w:rPr>
          <w:lang w:val="en-US"/>
        </w:rPr>
        <w:t xml:space="preserve">et al. </w:t>
      </w:r>
      <w:r w:rsidRPr="000F713C">
        <w:t xml:space="preserve">Fusion Eng. Design 98-99 B (2015) </w:t>
      </w:r>
      <w:r w:rsidRPr="00F7280B">
        <w:t>306-310</w:t>
      </w:r>
    </w:p>
    <w:p w:rsidR="00B30C5A" w:rsidRPr="0075377F" w:rsidRDefault="00B30C5A" w:rsidP="00B30C5A">
      <w:pPr>
        <w:pStyle w:val="Zv-References-ru"/>
        <w:numPr>
          <w:ilvl w:val="0"/>
          <w:numId w:val="1"/>
        </w:numPr>
      </w:pPr>
      <w:r w:rsidRPr="000279B3">
        <w:rPr>
          <w:color w:val="000000" w:themeColor="text1"/>
          <w:szCs w:val="24"/>
          <w:lang w:val="en-US"/>
        </w:rPr>
        <w:t xml:space="preserve">Ivanov D., Anashkin I., and Kolbasov B. 25th Fusion Energy Conf. </w:t>
      </w:r>
      <w:r w:rsidRPr="007028A9">
        <w:rPr>
          <w:color w:val="000000" w:themeColor="text1"/>
          <w:szCs w:val="24"/>
        </w:rPr>
        <w:t>(FEC 2014</w:t>
      </w:r>
      <w:r>
        <w:rPr>
          <w:color w:val="000000" w:themeColor="text1"/>
          <w:szCs w:val="24"/>
          <w:lang w:val="en-US"/>
        </w:rPr>
        <w:t xml:space="preserve">) </w:t>
      </w:r>
      <w:r w:rsidRPr="007028A9">
        <w:rPr>
          <w:color w:val="000000" w:themeColor="text1"/>
          <w:szCs w:val="24"/>
        </w:rPr>
        <w:t>FIP/P7-10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D20" w:rsidRDefault="00BD3D20">
      <w:r>
        <w:separator/>
      </w:r>
    </w:p>
  </w:endnote>
  <w:endnote w:type="continuationSeparator" w:id="0">
    <w:p w:rsidR="00BD3D20" w:rsidRDefault="00BD3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46BF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46BF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403C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D20" w:rsidRDefault="00BD3D20">
      <w:r>
        <w:separator/>
      </w:r>
    </w:p>
  </w:footnote>
  <w:footnote w:type="continuationSeparator" w:id="0">
    <w:p w:rsidR="00BD3D20" w:rsidRDefault="00BD3D20">
      <w:r>
        <w:continuationSeparator/>
      </w:r>
    </w:p>
  </w:footnote>
  <w:footnote w:id="1">
    <w:p w:rsidR="00D403C1" w:rsidRPr="00D403C1" w:rsidRDefault="00D403C1">
      <w:pPr>
        <w:pStyle w:val="a8"/>
        <w:rPr>
          <w:sz w:val="22"/>
          <w:szCs w:val="22"/>
          <w:lang w:val="en-US"/>
        </w:rPr>
      </w:pPr>
      <w:r w:rsidRPr="00D403C1">
        <w:rPr>
          <w:rStyle w:val="aa"/>
          <w:sz w:val="22"/>
          <w:szCs w:val="22"/>
        </w:rPr>
        <w:t>*)</w:t>
      </w:r>
      <w:r w:rsidRPr="00D403C1">
        <w:rPr>
          <w:sz w:val="22"/>
          <w:szCs w:val="22"/>
        </w:rPr>
        <w:t xml:space="preserve">  </w:t>
      </w:r>
      <w:hyperlink r:id="rId1" w:history="1">
        <w:r w:rsidRPr="00D403C1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746BF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3D20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46BF1"/>
    <w:rsid w:val="007B6378"/>
    <w:rsid w:val="00802D35"/>
    <w:rsid w:val="008E2894"/>
    <w:rsid w:val="0094721E"/>
    <w:rsid w:val="00A66876"/>
    <w:rsid w:val="00A71613"/>
    <w:rsid w:val="00AB3459"/>
    <w:rsid w:val="00B30C5A"/>
    <w:rsid w:val="00B37B0D"/>
    <w:rsid w:val="00B622ED"/>
    <w:rsid w:val="00B9584E"/>
    <w:rsid w:val="00BD05EF"/>
    <w:rsid w:val="00BD3D20"/>
    <w:rsid w:val="00C103CD"/>
    <w:rsid w:val="00C232A0"/>
    <w:rsid w:val="00CA791E"/>
    <w:rsid w:val="00CE0E75"/>
    <w:rsid w:val="00D403C1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30C5A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D403C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403C1"/>
  </w:style>
  <w:style w:type="character" w:styleId="aa">
    <w:name w:val="footnote reference"/>
    <w:basedOn w:val="a0"/>
    <w:rsid w:val="00D403C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_DP@nrck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en/BC-Iva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FEF0B9-EDD6-4F17-AB9C-C7FB56F81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3</TotalTime>
  <Pages>1</Pages>
  <Words>405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МАЛОАСПЕКТНЫЙ CВЕРХПРОВОДЯЩИЙ ТОКАМАК С ПОЛЕМ 5 Тл</dc:title>
  <dc:creator>sato</dc:creator>
  <cp:lastModifiedBy>Сатунин</cp:lastModifiedBy>
  <cp:revision>2</cp:revision>
  <cp:lastPrinted>1601-01-01T00:00:00Z</cp:lastPrinted>
  <dcterms:created xsi:type="dcterms:W3CDTF">2020-02-14T13:00:00Z</dcterms:created>
  <dcterms:modified xsi:type="dcterms:W3CDTF">2020-04-20T14:50:00Z</dcterms:modified>
</cp:coreProperties>
</file>