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DBA" w:rsidRPr="00E80921" w:rsidRDefault="00DD7DBA" w:rsidP="00DD7DBA">
      <w:pPr>
        <w:pStyle w:val="Zv-Titlereport"/>
      </w:pPr>
      <w:r>
        <w:t>Бесстолкновительная динамика частиц в диамагнитной ловушке</w:t>
      </w:r>
      <w:r w:rsidR="00E80921" w:rsidRPr="00E80921">
        <w:t xml:space="preserve"> </w:t>
      </w:r>
      <w:r w:rsidR="00E80921">
        <w:rPr>
          <w:rStyle w:val="aa"/>
        </w:rPr>
        <w:footnoteReference w:customMarkFollows="1" w:id="1"/>
        <w:t>*)</w:t>
      </w:r>
    </w:p>
    <w:p w:rsidR="00DD7DBA" w:rsidRDefault="00DD7DBA" w:rsidP="00DD7DBA">
      <w:pPr>
        <w:pStyle w:val="Zv-Author"/>
      </w:pPr>
      <w:r>
        <w:t>Черноштанов</w:t>
      </w:r>
      <w:r w:rsidRPr="00530663">
        <w:t xml:space="preserve"> </w:t>
      </w:r>
      <w:r>
        <w:t>И.С.</w:t>
      </w:r>
    </w:p>
    <w:p w:rsidR="00DD7DBA" w:rsidRPr="00181FD3" w:rsidRDefault="00DD7DBA" w:rsidP="00DD7DBA">
      <w:pPr>
        <w:pStyle w:val="Zv-Organization"/>
      </w:pPr>
      <w:r>
        <w:t xml:space="preserve">Институт ядерной физики им. Г.И. Будкера СО РАН, Новосибирск, Россия, </w:t>
      </w:r>
      <w:hyperlink r:id="rId8" w:history="1">
        <w:r w:rsidRPr="001E4DA7">
          <w:rPr>
            <w:rStyle w:val="a7"/>
            <w:lang w:val="en-US"/>
          </w:rPr>
          <w:t>I</w:t>
        </w:r>
        <w:r w:rsidRPr="00181FD3">
          <w:rPr>
            <w:rStyle w:val="a7"/>
          </w:rPr>
          <w:t>.</w:t>
        </w:r>
        <w:r w:rsidRPr="001E4DA7">
          <w:rPr>
            <w:rStyle w:val="a7"/>
            <w:lang w:val="en-US"/>
          </w:rPr>
          <w:t>S</w:t>
        </w:r>
        <w:r w:rsidRPr="00181FD3">
          <w:rPr>
            <w:rStyle w:val="a7"/>
          </w:rPr>
          <w:t>.</w:t>
        </w:r>
        <w:r w:rsidRPr="001E4DA7">
          <w:rPr>
            <w:rStyle w:val="a7"/>
            <w:lang w:val="en-US"/>
          </w:rPr>
          <w:t>Chernoshtanov</w:t>
        </w:r>
        <w:r w:rsidRPr="00181FD3">
          <w:rPr>
            <w:rStyle w:val="a7"/>
          </w:rPr>
          <w:t>@</w:t>
        </w:r>
        <w:r w:rsidRPr="001E4DA7">
          <w:rPr>
            <w:rStyle w:val="a7"/>
            <w:lang w:val="en-US"/>
          </w:rPr>
          <w:t>inp</w:t>
        </w:r>
        <w:r w:rsidRPr="00181FD3">
          <w:rPr>
            <w:rStyle w:val="a7"/>
          </w:rPr>
          <w:t>.</w:t>
        </w:r>
        <w:r w:rsidRPr="001E4DA7">
          <w:rPr>
            <w:rStyle w:val="a7"/>
            <w:lang w:val="en-US"/>
          </w:rPr>
          <w:t>nsk</w:t>
        </w:r>
        <w:r w:rsidRPr="00181FD3">
          <w:rPr>
            <w:rStyle w:val="a7"/>
          </w:rPr>
          <w:t>.</w:t>
        </w:r>
        <w:r w:rsidRPr="001E4DA7">
          <w:rPr>
            <w:rStyle w:val="a7"/>
            <w:lang w:val="en-US"/>
          </w:rPr>
          <w:t>su</w:t>
        </w:r>
      </w:hyperlink>
    </w:p>
    <w:p w:rsidR="00DD7DBA" w:rsidRDefault="00DD7DBA" w:rsidP="00DD7DBA">
      <w:pPr>
        <w:pStyle w:val="Zv-bodyreport"/>
      </w:pPr>
      <w:r>
        <w:t xml:space="preserve">В докладе рассматриваются механизмы удержания и времена жизни частиц в осесимметричной открытой ловушке в режиме диамагнитного удержания. Данный режим подразумевает создание и поддержание в открытой ловушке плазмы с предельно высоким давлением, равным давлению удерживающего магнитного поля </w:t>
      </w:r>
      <w:r w:rsidRPr="00F236BC">
        <w:t>[1]</w:t>
      </w:r>
      <w:r>
        <w:t xml:space="preserve">. Это приводит к формированию области, занятой плотной горячей плазмой, из которой вытеснено магнитное поле (т.н. диамагнитный «пузырь»). Магнитогидродинамические модели </w:t>
      </w:r>
      <w:r w:rsidRPr="00F236BC">
        <w:t>[1, 2]</w:t>
      </w:r>
      <w:r>
        <w:t xml:space="preserve"> предсказывают существенное увеличение времени удержания вещества и энергии в ловушке при переходе в режим диамагнитного удержания по сравнению с режимом газодинамической ловушки.</w:t>
      </w:r>
    </w:p>
    <w:p w:rsidR="00DD7DBA" w:rsidRDefault="00DD7DBA" w:rsidP="00DD7DBA">
      <w:pPr>
        <w:pStyle w:val="Zv-bodyreport"/>
      </w:pPr>
      <w:r>
        <w:t xml:space="preserve">Для построения кинетических моделей, описывающих диамагнитное удержание, необходимо знать, как двигаются частицы в диамагнитной ловушке. В силу стационарности и осевой симметрии магнитного поля сохраняются энергия </w:t>
      </w:r>
      <w:r w:rsidR="002D3034" w:rsidRPr="00DC569F">
        <w:fldChar w:fldCharType="begin"/>
      </w:r>
      <w:r w:rsidRPr="00DC569F">
        <w:instrText xml:space="preserve"> QUOTE </w:instrText>
      </w:r>
      <m:oMath>
        <m:r>
          <w:rPr>
            <w:rFonts w:ascii="Cambria Math" w:hAnsi="Cambria Math"/>
          </w:rPr>
          <m:t>ε</m:t>
        </m:r>
      </m:oMath>
      <w:r w:rsidRPr="00DC569F">
        <w:instrText xml:space="preserve"> </w:instrText>
      </w:r>
      <w:r w:rsidR="002D3034" w:rsidRPr="00DC569F">
        <w:fldChar w:fldCharType="separate"/>
      </w:r>
      <w:r w:rsidRPr="00193190">
        <w:rPr>
          <w:position w:val="-6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1.25pt" o:ole="">
            <v:imagedata r:id="rId9" o:title=""/>
          </v:shape>
          <o:OLEObject Type="Embed" ProgID="Equation.3" ShapeID="_x0000_i1025" DrawAspect="Content" ObjectID="_1648648383" r:id="rId10"/>
        </w:object>
      </w:r>
      <w:r w:rsidR="002D3034" w:rsidRPr="00DC569F">
        <w:fldChar w:fldCharType="end"/>
      </w:r>
      <w:r>
        <w:t xml:space="preserve"> и азимутальная компонента момента импульса </w:t>
      </w:r>
      <w:r w:rsidR="002D3034" w:rsidRPr="00DC569F">
        <w:fldChar w:fldCharType="begin"/>
      </w:r>
      <w:r w:rsidRPr="00DC569F"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  <w:lang w:eastAsia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</w:rPr>
              <m:t>θ</m:t>
            </m:r>
          </m:sub>
        </m:sSub>
      </m:oMath>
      <w:r w:rsidRPr="00DC569F">
        <w:instrText xml:space="preserve"> </w:instrText>
      </w:r>
      <w:r w:rsidR="002D3034" w:rsidRPr="00DC569F">
        <w:fldChar w:fldCharType="separate"/>
      </w:r>
      <w:r w:rsidRPr="00193190">
        <w:rPr>
          <w:position w:val="-10"/>
        </w:rPr>
        <w:object w:dxaOrig="300" w:dyaOrig="320">
          <v:shape id="_x0000_i1026" type="#_x0000_t75" style="width:15pt;height:15.75pt" o:ole="">
            <v:imagedata r:id="rId11" o:title=""/>
          </v:shape>
          <o:OLEObject Type="Embed" ProgID="Equation.3" ShapeID="_x0000_i1026" DrawAspect="Content" ObjectID="_1648648384" r:id="rId12"/>
        </w:object>
      </w:r>
      <w:r w:rsidR="002D3034" w:rsidRPr="00DC569F">
        <w:fldChar w:fldCharType="end"/>
      </w:r>
      <w:r>
        <w:t xml:space="preserve"> частицы. Однако, из-за малой величины магнитного поля не сохраняется магнитный момент </w:t>
      </w:r>
      <w:r w:rsidR="002D3034" w:rsidRPr="004F4EC7">
        <w:fldChar w:fldCharType="begin"/>
      </w:r>
      <w:r w:rsidRPr="004F4EC7">
        <w:instrText xml:space="preserve"> QUOTE </w:instrText>
      </w:r>
      <m:oMath>
        <m:r>
          <w:rPr>
            <w:rFonts w:ascii="Cambria Math" w:hAnsi="Cambria Math"/>
          </w:rPr>
          <m:t>μ=</m:t>
        </m:r>
        <m:r>
          <w:rPr>
            <w:rFonts w:ascii="Cambria Math" w:hAnsi="Cambria Math"/>
            <w:lang w:val="en-US"/>
          </w:rPr>
          <m:t>m</m:t>
        </m:r>
        <m:sSubSup>
          <m:sSubSupPr>
            <m:ctrlPr>
              <w:rPr>
                <w:rFonts w:ascii="Cambria Math" w:eastAsia="Calibri" w:hAnsi="Cambria Math"/>
                <w:i/>
                <w:sz w:val="22"/>
                <w:szCs w:val="22"/>
                <w:lang w:val="en-US" w:eastAsia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V</m:t>
            </m:r>
          </m:e>
          <m:sub>
            <m:r>
              <w:rPr>
                <w:rFonts w:ascii="Cambria Math" w:hAnsi="Cambria Math"/>
              </w:rPr>
              <m:t>⊥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/2</m:t>
        </m:r>
        <m:r>
          <w:rPr>
            <w:rFonts w:ascii="Cambria Math" w:hAnsi="Cambria Math"/>
            <w:lang w:val="en-US"/>
          </w:rPr>
          <m:t>B</m:t>
        </m:r>
      </m:oMath>
      <w:r w:rsidRPr="004F4EC7">
        <w:instrText xml:space="preserve"> </w:instrText>
      </w:r>
      <w:r w:rsidR="002D3034" w:rsidRPr="004F4EC7">
        <w:fldChar w:fldCharType="separate"/>
      </w:r>
      <w:r w:rsidRPr="00193190">
        <w:rPr>
          <w:position w:val="-10"/>
        </w:rPr>
        <w:object w:dxaOrig="1280" w:dyaOrig="360">
          <v:shape id="_x0000_i1027" type="#_x0000_t75" style="width:63.75pt;height:18pt" o:ole="">
            <v:imagedata r:id="rId13" o:title=""/>
          </v:shape>
          <o:OLEObject Type="Embed" ProgID="Equation.3" ShapeID="_x0000_i1027" DrawAspect="Content" ObjectID="_1648648385" r:id="rId14"/>
        </w:object>
      </w:r>
      <w:r w:rsidR="002D3034" w:rsidRPr="004F4EC7">
        <w:fldChar w:fldCharType="end"/>
      </w:r>
      <w:r>
        <w:t>, что существенно изменяет картину движения и может приводить к хаотической динамике большей части частиц.</w:t>
      </w:r>
    </w:p>
    <w:p w:rsidR="00DD7DBA" w:rsidRPr="00470703" w:rsidRDefault="00DD7DBA" w:rsidP="00DD7DBA">
      <w:pPr>
        <w:pStyle w:val="Zv-bodyreport"/>
      </w:pPr>
      <w:r>
        <w:t xml:space="preserve">В отсутствии столкновений и факторов, нарушающих стационарность и азимутальную симметрию, существуют два механизма, за счет которых частица может удерживаться в диамагнитной ловушке неограниченное время. Во-первых, частица может удерживаться при быстром вращении вокруг оси ловушки в направлении, согласованном с направлением циклотронного вращения (т.н. абсолютное удержание </w:t>
      </w:r>
      <w:r w:rsidRPr="00BA55F7">
        <w:t>[3]</w:t>
      </w:r>
      <w:r>
        <w:t xml:space="preserve">). Критерий абсолютного удержания можно записать в виде </w:t>
      </w:r>
      <w:r w:rsidR="002D3034" w:rsidRPr="006D7B3C">
        <w:rPr>
          <w:rFonts w:ascii="Cambria Math" w:eastAsia="Calibri" w:hAnsi="Cambria Math"/>
          <w:sz w:val="22"/>
          <w:szCs w:val="22"/>
          <w:lang w:eastAsia="en-US"/>
        </w:rPr>
        <w:fldChar w:fldCharType="begin"/>
      </w:r>
      <w:r w:rsidRPr="006D7B3C">
        <w:rPr>
          <w:rFonts w:ascii="Cambria Math" w:eastAsia="Calibri" w:hAnsi="Cambria Math"/>
          <w:sz w:val="22"/>
          <w:szCs w:val="22"/>
          <w:lang w:eastAsia="en-US"/>
        </w:rPr>
        <w:instrText xml:space="preserve"> QUOTE </w:instrText>
      </w:r>
      <m:oMath>
        <m:sSub>
          <m:sSubPr>
            <m:ctrlPr>
              <w:rPr>
                <w:rFonts w:ascii="Cambria Math" w:eastAsia="Calibri" w:hAnsi="Cambria Math"/>
                <w:i/>
                <w:sz w:val="22"/>
                <w:szCs w:val="22"/>
                <w:lang w:val="en-US" w:eastAsia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lang w:val="en-US"/>
              </w:rPr>
              <m:t>V</m:t>
            </m:r>
          </m:sub>
        </m:sSub>
        <m:r>
          <m:rPr>
            <m:sty m:val="p"/>
          </m:rPr>
          <w:rPr>
            <w:rFonts w:ascii="Cambria Math" w:hAnsi="Cambria Math"/>
            <w:lang w:val="en-US"/>
          </w:rPr>
          <m:t>Ω</m:t>
        </m:r>
        <m:sSub>
          <m:sSubPr>
            <m:ctrlPr>
              <w:rPr>
                <w:rFonts w:ascii="Cambria Math" w:eastAsia="Calibri" w:hAnsi="Cambria Math"/>
                <w:i/>
                <w:sz w:val="22"/>
                <w:szCs w:val="22"/>
                <w:lang w:val="en-US" w:eastAsia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lang w:val="en-US"/>
              </w:rPr>
              <m:t>θ</m:t>
            </m:r>
          </m:sub>
        </m:sSub>
        <m: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ε</m:t>
        </m:r>
        <m:r>
          <w:rPr>
            <w:rFonts w:ascii="Cambria Math" w:hAnsi="Cambria Math"/>
          </w:rPr>
          <m:t>&lt;0</m:t>
        </m:r>
      </m:oMath>
      <w:r w:rsidRPr="006D7B3C">
        <w:rPr>
          <w:rFonts w:ascii="Cambria Math" w:eastAsia="Calibri" w:hAnsi="Cambria Math"/>
          <w:sz w:val="22"/>
          <w:szCs w:val="22"/>
          <w:lang w:eastAsia="en-US"/>
        </w:rPr>
        <w:instrText xml:space="preserve"> </w:instrText>
      </w:r>
      <w:r w:rsidR="002D3034" w:rsidRPr="006D7B3C">
        <w:rPr>
          <w:rFonts w:ascii="Cambria Math" w:eastAsia="Calibri" w:hAnsi="Cambria Math"/>
          <w:sz w:val="22"/>
          <w:szCs w:val="22"/>
          <w:lang w:eastAsia="en-US"/>
        </w:rPr>
        <w:fldChar w:fldCharType="separate"/>
      </w:r>
      <w:r w:rsidRPr="00193190">
        <w:rPr>
          <w:rFonts w:ascii="Cambria Math" w:eastAsia="Calibri" w:hAnsi="Cambria Math"/>
          <w:position w:val="-10"/>
          <w:sz w:val="22"/>
          <w:szCs w:val="22"/>
          <w:lang w:eastAsia="en-US"/>
        </w:rPr>
        <w:object w:dxaOrig="1400" w:dyaOrig="320">
          <v:shape id="_x0000_i1028" type="#_x0000_t75" style="width:69.75pt;height:15.75pt" o:ole="">
            <v:imagedata r:id="rId15" o:title=""/>
          </v:shape>
          <o:OLEObject Type="Embed" ProgID="Equation.3" ShapeID="_x0000_i1028" DrawAspect="Content" ObjectID="_1648648386" r:id="rId16"/>
        </w:object>
      </w:r>
      <w:r w:rsidR="002D3034" w:rsidRPr="006D7B3C">
        <w:rPr>
          <w:rFonts w:ascii="Cambria Math" w:eastAsia="Calibri" w:hAnsi="Cambria Math"/>
          <w:sz w:val="22"/>
          <w:szCs w:val="22"/>
          <w:lang w:eastAsia="en-US"/>
        </w:rPr>
        <w:fldChar w:fldCharType="end"/>
      </w:r>
      <w:r w:rsidRPr="00BA55F7">
        <w:t xml:space="preserve">, </w:t>
      </w:r>
      <w:r>
        <w:t xml:space="preserve">где </w:t>
      </w:r>
      <w:r w:rsidRPr="00193190">
        <w:rPr>
          <w:position w:val="-10"/>
        </w:rPr>
        <w:object w:dxaOrig="320" w:dyaOrig="320">
          <v:shape id="_x0000_i1029" type="#_x0000_t75" style="width:15.75pt;height:15.75pt" o:ole="">
            <v:imagedata r:id="rId17" o:title=""/>
          </v:shape>
          <o:OLEObject Type="Embed" ProgID="Equation.3" ShapeID="_x0000_i1029" DrawAspect="Content" ObjectID="_1648648387" r:id="rId18"/>
        </w:object>
      </w:r>
      <w:r>
        <w:t xml:space="preserve"> есть пробочное отношение вакуумного магнитного поля,</w:t>
      </w:r>
      <w:r w:rsidRPr="006067E1">
        <w:t xml:space="preserve"> </w:t>
      </w:r>
      <w:r w:rsidR="002D3034" w:rsidRPr="006067E1">
        <w:fldChar w:fldCharType="begin"/>
      </w:r>
      <w:r w:rsidRPr="006067E1"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Ω</m:t>
        </m:r>
      </m:oMath>
      <w:r w:rsidRPr="006067E1">
        <w:instrText xml:space="preserve"> </w:instrText>
      </w:r>
      <w:r w:rsidR="002D3034" w:rsidRPr="006067E1">
        <w:fldChar w:fldCharType="separate"/>
      </w:r>
      <w:r w:rsidRPr="00193190">
        <w:rPr>
          <w:position w:val="-4"/>
        </w:rPr>
        <w:object w:dxaOrig="240" w:dyaOrig="240">
          <v:shape id="_x0000_i1030" type="#_x0000_t75" style="width:12pt;height:12pt" o:ole="">
            <v:imagedata r:id="rId19" o:title=""/>
          </v:shape>
          <o:OLEObject Type="Embed" ProgID="Equation.3" ShapeID="_x0000_i1030" DrawAspect="Content" ObjectID="_1648648388" r:id="rId20"/>
        </w:object>
      </w:r>
      <w:r w:rsidR="002D3034" w:rsidRPr="006067E1">
        <w:fldChar w:fldCharType="end"/>
      </w:r>
      <w:r w:rsidRPr="006067E1">
        <w:t xml:space="preserve"> </w:t>
      </w:r>
      <w:r>
        <w:t>– циклотронная частота, посчитанная по вакуумному полю в центре. Во-вторых, при движении частицы в плавно меняющемся в продольном направлении магнитном поле может сохраняться радиальный адиабатический инвариант.</w:t>
      </w:r>
    </w:p>
    <w:p w:rsidR="00DD7DBA" w:rsidRPr="00076A04" w:rsidRDefault="00DD7DBA" w:rsidP="00DD7DBA">
      <w:pPr>
        <w:pStyle w:val="Zv-bodyreport"/>
      </w:pPr>
      <w:r>
        <w:t xml:space="preserve">В докладе обсуждаются аналитические критерии адиабатичности движения в диамагнитной ловушке с гладким и гофрированным (из-за дискретной структуры магнитной системы ловушки) магнитным полем. Найдена аналитическая оценка для времени жизни пролетных частиц. Показано, что время удержания плазмы в диамагнитной ловушке в режиме газодинамического вытекания (время жизни пролетной частицы превышает время кулоновского рассеяния) как минимум в </w:t>
      </w:r>
      <w:r w:rsidR="002D3034" w:rsidRPr="006067E1">
        <w:fldChar w:fldCharType="begin"/>
      </w:r>
      <w:r w:rsidRPr="006067E1">
        <w:instrText xml:space="preserve"> QUOTE </w:instrText>
      </w:r>
      <m:oMath>
        <m:r>
          <w:rPr>
            <w:rFonts w:ascii="Cambria Math" w:hAnsi="Cambria Math"/>
          </w:rPr>
          <m:t>a/ρ</m:t>
        </m:r>
      </m:oMath>
      <w:r w:rsidRPr="006067E1">
        <w:instrText xml:space="preserve"> </w:instrText>
      </w:r>
      <w:r w:rsidR="002D3034" w:rsidRPr="006067E1">
        <w:fldChar w:fldCharType="separate"/>
      </w:r>
      <w:r w:rsidRPr="00B9413A">
        <w:rPr>
          <w:position w:val="-10"/>
        </w:rPr>
        <w:object w:dxaOrig="480" w:dyaOrig="300">
          <v:shape id="_x0000_i1031" type="#_x0000_t75" style="width:24pt;height:15pt" o:ole="">
            <v:imagedata r:id="rId21" o:title=""/>
          </v:shape>
          <o:OLEObject Type="Embed" ProgID="Equation.3" ShapeID="_x0000_i1031" DrawAspect="Content" ObjectID="_1648648389" r:id="rId22"/>
        </w:object>
      </w:r>
      <w:r w:rsidR="002D3034" w:rsidRPr="006067E1">
        <w:fldChar w:fldCharType="end"/>
      </w:r>
      <w:r>
        <w:t xml:space="preserve"> раз превышает время газодинамического вытекания из вакуумного магнитного поля, здесь </w:t>
      </w:r>
      <w:r w:rsidRPr="00B9413A">
        <w:rPr>
          <w:position w:val="-6"/>
        </w:rPr>
        <w:object w:dxaOrig="200" w:dyaOrig="200">
          <v:shape id="_x0000_i1032" type="#_x0000_t75" style="width:9.75pt;height:9.75pt" o:ole="">
            <v:imagedata r:id="rId23" o:title=""/>
          </v:shape>
          <o:OLEObject Type="Embed" ProgID="Equation.3" ShapeID="_x0000_i1032" DrawAspect="Content" ObjectID="_1648648390" r:id="rId24"/>
        </w:object>
      </w:r>
      <w:r>
        <w:t xml:space="preserve"> и </w:t>
      </w:r>
      <w:r w:rsidRPr="00B9413A">
        <w:rPr>
          <w:position w:val="-10"/>
        </w:rPr>
        <w:object w:dxaOrig="220" w:dyaOrig="260">
          <v:shape id="_x0000_i1033" type="#_x0000_t75" style="width:11.25pt;height:12.75pt" o:ole="">
            <v:imagedata r:id="rId25" o:title=""/>
          </v:shape>
          <o:OLEObject Type="Embed" ProgID="Equation.3" ShapeID="_x0000_i1033" DrawAspect="Content" ObjectID="_1648648391" r:id="rId26"/>
        </w:object>
      </w:r>
      <w:r>
        <w:t xml:space="preserve"> есть радиус диамагнитного «пузыря» и ионный ларморовский радиус, посчитанный по вакуумному магнитному полю.</w:t>
      </w:r>
    </w:p>
    <w:p w:rsidR="00DD7DBA" w:rsidRDefault="00DD7DBA" w:rsidP="00DD7DBA">
      <w:pPr>
        <w:pStyle w:val="Zv-TitleReferences-ru"/>
      </w:pPr>
      <w:r>
        <w:t xml:space="preserve">Литература </w:t>
      </w:r>
    </w:p>
    <w:p w:rsidR="00DD7DBA" w:rsidRPr="00E80921" w:rsidRDefault="00DD7DBA" w:rsidP="00DD7DBA">
      <w:pPr>
        <w:pStyle w:val="Zv-References-ru"/>
        <w:rPr>
          <w:lang w:val="en-US"/>
        </w:rPr>
      </w:pPr>
      <w:r w:rsidRPr="00E80921">
        <w:rPr>
          <w:lang w:val="en-US"/>
        </w:rPr>
        <w:t xml:space="preserve">A.D. Beklemishev, Phys. Plasmas, 2016, </w:t>
      </w:r>
      <w:r w:rsidRPr="00E80921">
        <w:rPr>
          <w:b/>
          <w:lang w:val="en-US"/>
        </w:rPr>
        <w:t>23</w:t>
      </w:r>
      <w:r w:rsidRPr="00E80921">
        <w:rPr>
          <w:lang w:val="en-US"/>
        </w:rPr>
        <w:t>, 082506</w:t>
      </w:r>
    </w:p>
    <w:p w:rsidR="00DD7DBA" w:rsidRPr="00E80921" w:rsidRDefault="00DD7DBA" w:rsidP="00DD7DBA">
      <w:pPr>
        <w:pStyle w:val="Zv-References-ru"/>
        <w:rPr>
          <w:lang w:val="en-US"/>
        </w:rPr>
      </w:pPr>
      <w:r w:rsidRPr="00E80921">
        <w:rPr>
          <w:lang w:val="en-US"/>
        </w:rPr>
        <w:t xml:space="preserve">A.D. Beklemishev and M.S. Khristo, Plas. Fus. Res., 2019, </w:t>
      </w:r>
      <w:r w:rsidRPr="00E80921">
        <w:rPr>
          <w:b/>
          <w:lang w:val="en-US"/>
        </w:rPr>
        <w:t>14</w:t>
      </w:r>
      <w:r w:rsidRPr="00E80921">
        <w:rPr>
          <w:lang w:val="en-US"/>
        </w:rPr>
        <w:t>, 2403007</w:t>
      </w:r>
    </w:p>
    <w:p w:rsidR="00654A7B" w:rsidRDefault="00DD7DBA" w:rsidP="00DD7DBA">
      <w:pPr>
        <w:pStyle w:val="Zv-References-ru"/>
        <w:rPr>
          <w:lang w:val="en-US"/>
        </w:rPr>
      </w:pPr>
      <w:r w:rsidRPr="00E80921">
        <w:rPr>
          <w:lang w:val="en-US"/>
        </w:rPr>
        <w:t xml:space="preserve">M.Y. Wang and G.H. Miley, Nucl. </w:t>
      </w:r>
      <w:r w:rsidRPr="00CA7941">
        <w:t>Fusion, 1979</w:t>
      </w:r>
      <w:r>
        <w:t xml:space="preserve">, </w:t>
      </w:r>
      <w:r w:rsidRPr="00CA7941">
        <w:rPr>
          <w:b/>
        </w:rPr>
        <w:t>19</w:t>
      </w:r>
      <w:r>
        <w:t>, 39</w:t>
      </w:r>
    </w:p>
    <w:sectPr w:rsidR="00654A7B" w:rsidSect="00F95123">
      <w:headerReference w:type="default" r:id="rId27"/>
      <w:footerReference w:type="even" r:id="rId28"/>
      <w:footerReference w:type="default" r:id="rId2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25B" w:rsidRDefault="0007425B">
      <w:r>
        <w:separator/>
      </w:r>
    </w:p>
  </w:endnote>
  <w:endnote w:type="continuationSeparator" w:id="0">
    <w:p w:rsidR="0007425B" w:rsidRDefault="000742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D303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D303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80921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25B" w:rsidRDefault="0007425B">
      <w:r>
        <w:separator/>
      </w:r>
    </w:p>
  </w:footnote>
  <w:footnote w:type="continuationSeparator" w:id="0">
    <w:p w:rsidR="0007425B" w:rsidRDefault="0007425B">
      <w:r>
        <w:continuationSeparator/>
      </w:r>
    </w:p>
  </w:footnote>
  <w:footnote w:id="1">
    <w:p w:rsidR="00E80921" w:rsidRPr="00E80921" w:rsidRDefault="00E80921">
      <w:pPr>
        <w:pStyle w:val="a8"/>
        <w:rPr>
          <w:sz w:val="22"/>
          <w:szCs w:val="22"/>
          <w:lang w:val="en-US"/>
        </w:rPr>
      </w:pPr>
      <w:r w:rsidRPr="00E80921">
        <w:rPr>
          <w:rStyle w:val="aa"/>
          <w:sz w:val="22"/>
          <w:szCs w:val="22"/>
        </w:rPr>
        <w:t>*)</w:t>
      </w:r>
      <w:r w:rsidRPr="00E80921">
        <w:rPr>
          <w:sz w:val="22"/>
          <w:szCs w:val="22"/>
        </w:rPr>
        <w:t xml:space="preserve">  </w:t>
      </w:r>
      <w:hyperlink r:id="rId1" w:history="1">
        <w:r w:rsidRPr="00E80921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2D3034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7425B"/>
    <w:rsid w:val="00037DCC"/>
    <w:rsid w:val="00043701"/>
    <w:rsid w:val="0007425B"/>
    <w:rsid w:val="000C7078"/>
    <w:rsid w:val="000D76E9"/>
    <w:rsid w:val="000E495B"/>
    <w:rsid w:val="00140645"/>
    <w:rsid w:val="00171964"/>
    <w:rsid w:val="001C0CCB"/>
    <w:rsid w:val="001F65A1"/>
    <w:rsid w:val="00200AB2"/>
    <w:rsid w:val="00220629"/>
    <w:rsid w:val="00247225"/>
    <w:rsid w:val="002A6CD1"/>
    <w:rsid w:val="002D3034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D7DBA"/>
    <w:rsid w:val="00DE16AD"/>
    <w:rsid w:val="00DF1C1D"/>
    <w:rsid w:val="00E1331D"/>
    <w:rsid w:val="00E7021A"/>
    <w:rsid w:val="00E80921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7DBA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DD7DBA"/>
    <w:rPr>
      <w:color w:val="0000FF"/>
      <w:u w:val="single"/>
    </w:rPr>
  </w:style>
  <w:style w:type="paragraph" w:styleId="a8">
    <w:name w:val="footnote text"/>
    <w:basedOn w:val="a"/>
    <w:link w:val="a9"/>
    <w:rsid w:val="00E80921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E80921"/>
  </w:style>
  <w:style w:type="character" w:styleId="aa">
    <w:name w:val="footnote reference"/>
    <w:basedOn w:val="a0"/>
    <w:rsid w:val="00E8092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S.Chernoshtanov@inp.nsk.su" TargetMode="Externa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Mu/en/AG-Chernoshtan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FE339B-7F5F-43C0-B8F8-464E79EBE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2</TotalTime>
  <Pages>1</Pages>
  <Words>350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Сатунин</dc:creator>
  <cp:lastModifiedBy>Сатунин</cp:lastModifiedBy>
  <cp:revision>2</cp:revision>
  <cp:lastPrinted>1601-01-01T00:00:00Z</cp:lastPrinted>
  <dcterms:created xsi:type="dcterms:W3CDTF">2020-02-12T12:07:00Z</dcterms:created>
  <dcterms:modified xsi:type="dcterms:W3CDTF">2020-04-17T14:06:00Z</dcterms:modified>
</cp:coreProperties>
</file>