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87" w:rsidRPr="00052C87" w:rsidRDefault="00052C87" w:rsidP="00052C87">
      <w:pPr>
        <w:pStyle w:val="Zv-Titlereport"/>
        <w:rPr>
          <w:shd w:val="clear" w:color="auto" w:fill="FFFFFF"/>
        </w:rPr>
      </w:pPr>
      <w:r w:rsidRPr="00052C87">
        <w:rPr>
          <w:shd w:val="clear" w:color="auto" w:fill="FFFFFF"/>
        </w:rPr>
        <w:t xml:space="preserve">Анализ полуглобальных  L-H Переходов в разных режимах генерации тока ЭЦ-волнами в токамаке Т-10 </w:t>
      </w:r>
      <w:r w:rsidR="001A7678">
        <w:rPr>
          <w:rStyle w:val="aa"/>
          <w:shd w:val="clear" w:color="auto" w:fill="FFFFFF"/>
        </w:rPr>
        <w:footnoteReference w:customMarkFollows="1" w:id="1"/>
        <w:t>*)</w:t>
      </w:r>
    </w:p>
    <w:p w:rsidR="00052C87" w:rsidRDefault="00052C87" w:rsidP="00052C87">
      <w:pPr>
        <w:pStyle w:val="Zv-Author"/>
      </w:pPr>
      <w:r w:rsidRPr="003A62C3">
        <w:rPr>
          <w:u w:val="single"/>
        </w:rPr>
        <w:t>Неудачин С.В</w:t>
      </w:r>
      <w:r w:rsidRPr="002D187D">
        <w:rPr>
          <w:u w:val="single"/>
        </w:rPr>
        <w:t>.</w:t>
      </w:r>
      <w:r>
        <w:t>, Борщеговский А.А.,</w:t>
      </w:r>
      <w:r w:rsidRPr="003A62C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Куянов А.Ю., </w:t>
      </w:r>
      <w:r>
        <w:t>Пименов И.С.</w:t>
      </w:r>
    </w:p>
    <w:p w:rsidR="00052C87" w:rsidRPr="001E3F53" w:rsidRDefault="00052C87" w:rsidP="00052C87">
      <w:pPr>
        <w:pStyle w:val="Zv-Organization"/>
        <w:rPr>
          <w:color w:val="000000"/>
        </w:rPr>
      </w:pPr>
      <w:r w:rsidRPr="006E1F06">
        <w:t xml:space="preserve">НИЦ «Курчатовский </w:t>
      </w:r>
      <w:r w:rsidRPr="00052C87">
        <w:t>институт</w:t>
      </w:r>
      <w:r w:rsidRPr="006E1F06">
        <w:t>»,</w:t>
      </w:r>
      <w:r w:rsidRPr="00E7355B">
        <w:t xml:space="preserve"> </w:t>
      </w:r>
      <w:r w:rsidRPr="006E1F06">
        <w:t>РФ</w:t>
      </w:r>
      <w:r>
        <w:t>,</w:t>
      </w:r>
      <w:r w:rsidRPr="006E1F06">
        <w:t xml:space="preserve">  123182 </w:t>
      </w:r>
      <w:r w:rsidRPr="006E1F06">
        <w:rPr>
          <w:lang w:val="en-US"/>
        </w:rPr>
        <w:t>Mo</w:t>
      </w:r>
      <w:r w:rsidRPr="006E1F06">
        <w:t xml:space="preserve">сква, </w:t>
      </w:r>
      <w:r w:rsidRPr="006E1F06">
        <w:rPr>
          <w:color w:val="000000"/>
        </w:rPr>
        <w:t>пл. Курчатова 1</w:t>
      </w:r>
    </w:p>
    <w:p w:rsidR="00052C87" w:rsidRDefault="00052C87" w:rsidP="00052C87">
      <w:pPr>
        <w:pStyle w:val="Zv-bodyreport"/>
      </w:pPr>
      <w:r w:rsidRPr="00E27A23">
        <w:t>При нелокальном (“глобальном“) L-H переходе обнаруженном в различных режимах токамаков JET и JT-60U [1-3], рост Te,i  и ne начинается одновременно в зоне ≈0.3&lt;r/a&lt;1 и все коэффициенты переноса скачком уменьшаются. При ВТБ-событиях в JT-60U и T-10, спад потоков тепла и частиц происходит в более узкой внутренней зоне шириной 30-50% от радиуса, см. детали и ссылки в [3-5]. Назовем полуглобальным L-H переходом процесс, когда Te начинает расти в зоне 0.2 r/a&lt;0.6, а ne в зоне ≈0.3&lt;r/a&lt;1. Спонтанные переходы  наблюдаются лишь при одновременной co+contr- генерации тока EC-волнами (см. краткое описание одн</w:t>
      </w:r>
      <w:r>
        <w:t>ого перехода в [6]). Триггерами</w:t>
      </w:r>
      <w:r w:rsidRPr="00E27A23">
        <w:t xml:space="preserve"> полуглобальных L-H переходов в различных режимах генерации тока является как самопроизвольное падение Li-содержащих чешуек [7] так и напуск неона в экспериментах, описанных в [8-9]. Скачкообразный рост энергетического времени жизни τ</w:t>
      </w:r>
      <w:r w:rsidRPr="004C69C9">
        <w:rPr>
          <w:vertAlign w:val="subscript"/>
        </w:rPr>
        <w:t>E</w:t>
      </w:r>
      <w:r w:rsidRPr="00E27A23">
        <w:t xml:space="preserve"> в момент перехода </w:t>
      </w:r>
      <w:r>
        <w:t>составляет</w:t>
      </w:r>
      <w:r w:rsidRPr="00E27A23">
        <w:t xml:space="preserve"> от 10 до 20%. </w:t>
      </w:r>
    </w:p>
    <w:p w:rsidR="00052C87" w:rsidRPr="00B73C2E" w:rsidRDefault="00052C87" w:rsidP="00052C87">
      <w:pPr>
        <w:pStyle w:val="Zv-bodyreport"/>
      </w:pPr>
      <w:r>
        <w:t>Основная задача данной работы состоит в определении профилей скачка коэффициента электронной теплопроводности δχ</w:t>
      </w:r>
      <w:r w:rsidRPr="00450E74">
        <w:rPr>
          <w:vertAlign w:val="subscript"/>
          <w:lang w:val="en-US"/>
        </w:rPr>
        <w:t>e</w:t>
      </w:r>
      <w:r>
        <w:t xml:space="preserve"> (</w:t>
      </w:r>
      <w:r>
        <w:rPr>
          <w:lang w:val="en-US"/>
        </w:rPr>
        <w:t>r</w:t>
      </w:r>
      <w:r>
        <w:t>) и</w:t>
      </w:r>
      <w:r w:rsidRPr="00450E74">
        <w:t xml:space="preserve"> </w:t>
      </w:r>
      <w:r>
        <w:t>диффузии δ</w:t>
      </w:r>
      <w:r>
        <w:rPr>
          <w:lang w:val="en-US"/>
        </w:rPr>
        <w:t>D</w:t>
      </w:r>
      <w:r w:rsidRPr="00450E74">
        <w:rPr>
          <w:vertAlign w:val="subscript"/>
          <w:lang w:val="en-US"/>
        </w:rPr>
        <w:t>e</w:t>
      </w:r>
      <w:r>
        <w:t xml:space="preserve"> (</w:t>
      </w:r>
      <w:r>
        <w:rPr>
          <w:lang w:val="en-US"/>
        </w:rPr>
        <w:t>r</w:t>
      </w:r>
      <w:r>
        <w:t>)</w:t>
      </w:r>
      <w:r w:rsidRPr="00450E74">
        <w:t xml:space="preserve"> </w:t>
      </w:r>
      <w:r>
        <w:t>в момент перехода. Задача осложняется еще и тем, что, в отличие от работ [1</w:t>
      </w:r>
      <w:r w:rsidRPr="00E27A23">
        <w:t>-5]</w:t>
      </w:r>
      <w:r>
        <w:t xml:space="preserve">, рост плотности не является малой поправкой. Более того, не ясна и конвективная часть  потока тепла равная </w:t>
      </w:r>
      <w:r>
        <w:rPr>
          <w:lang w:val="en-US"/>
        </w:rPr>
        <w:t>YT</w:t>
      </w:r>
      <w:r>
        <w:rPr>
          <w:lang w:val="en-US"/>
        </w:rPr>
        <w:sym w:font="Symbol" w:char="F047"/>
      </w:r>
      <w:r w:rsidRPr="000925C9">
        <w:rPr>
          <w:vertAlign w:val="subscript"/>
          <w:lang w:val="en-US"/>
        </w:rPr>
        <w:t>n</w:t>
      </w:r>
      <w:r w:rsidRPr="000925C9">
        <w:t xml:space="preserve"> </w:t>
      </w:r>
      <w:r>
        <w:t xml:space="preserve">где </w:t>
      </w:r>
      <w:r>
        <w:rPr>
          <w:lang w:val="en-US"/>
        </w:rPr>
        <w:sym w:font="Symbol" w:char="F047"/>
      </w:r>
      <w:r w:rsidRPr="000925C9">
        <w:rPr>
          <w:vertAlign w:val="subscript"/>
          <w:lang w:val="en-US"/>
        </w:rPr>
        <w:t>n</w:t>
      </w:r>
      <w:r w:rsidRPr="000925C9">
        <w:t xml:space="preserve"> </w:t>
      </w:r>
      <w:r>
        <w:t xml:space="preserve">– поток электронов. Традиционно считается что </w:t>
      </w:r>
      <w:r>
        <w:rPr>
          <w:lang w:val="en-US"/>
        </w:rPr>
        <w:t>Y</w:t>
      </w:r>
      <w:r>
        <w:t>=2.5,</w:t>
      </w:r>
      <w:r w:rsidRPr="000925C9">
        <w:t xml:space="preserve"> </w:t>
      </w:r>
      <w:r>
        <w:t xml:space="preserve">но эксперименты токамаков </w:t>
      </w:r>
      <w:r>
        <w:rPr>
          <w:lang w:val="en-US"/>
        </w:rPr>
        <w:t>JET</w:t>
      </w:r>
      <w:r w:rsidRPr="000925C9">
        <w:t xml:space="preserve"> </w:t>
      </w:r>
      <w:r>
        <w:t>и</w:t>
      </w:r>
      <w:r w:rsidRPr="000925C9">
        <w:t xml:space="preserve"> </w:t>
      </w:r>
      <w:r>
        <w:rPr>
          <w:lang w:val="en-US"/>
        </w:rPr>
        <w:t>TFTR</w:t>
      </w:r>
      <w:r w:rsidRPr="000925C9">
        <w:t xml:space="preserve"> </w:t>
      </w:r>
      <w:r>
        <w:t>с высокой ионной температурой показали, что</w:t>
      </w:r>
      <w:r w:rsidRPr="000925C9">
        <w:t xml:space="preserve"> </w:t>
      </w:r>
      <w:r>
        <w:rPr>
          <w:lang w:val="en-US"/>
        </w:rPr>
        <w:t>Y</w:t>
      </w:r>
      <w:r>
        <w:t>=1.5.</w:t>
      </w:r>
      <w:r w:rsidRPr="000925C9">
        <w:t xml:space="preserve"> </w:t>
      </w:r>
      <w:r>
        <w:t xml:space="preserve"> Выведенные в докладе новые аналитические формулы показывают, что при </w:t>
      </w:r>
      <w:r>
        <w:rPr>
          <w:lang w:val="en-US"/>
        </w:rPr>
        <w:t>n</w:t>
      </w:r>
      <w:r w:rsidRPr="00450E74">
        <w:rPr>
          <w:vertAlign w:val="subscript"/>
          <w:lang w:val="en-US"/>
        </w:rPr>
        <w:t>e</w:t>
      </w:r>
      <w:r>
        <w:t>χ</w:t>
      </w:r>
      <w:r w:rsidRPr="00450E74">
        <w:rPr>
          <w:vertAlign w:val="subscript"/>
          <w:lang w:val="en-US"/>
        </w:rPr>
        <w:t>e</w:t>
      </w:r>
      <w:r>
        <w:t xml:space="preserve"> </w:t>
      </w:r>
      <w:r w:rsidRPr="000925C9">
        <w:t xml:space="preserve">= </w:t>
      </w:r>
      <w:r>
        <w:rPr>
          <w:lang w:val="en-US"/>
        </w:rPr>
        <w:t>const</w:t>
      </w:r>
      <w:r w:rsidRPr="000925C9">
        <w:t>(</w:t>
      </w:r>
      <w:r>
        <w:rPr>
          <w:lang w:val="en-US"/>
        </w:rPr>
        <w:t>n</w:t>
      </w:r>
      <w:r w:rsidRPr="00450E74">
        <w:rPr>
          <w:vertAlign w:val="subscript"/>
          <w:lang w:val="en-US"/>
        </w:rPr>
        <w:t>e</w:t>
      </w:r>
      <w:r w:rsidRPr="00F41925">
        <w:t>)</w:t>
      </w:r>
      <w:r>
        <w:t xml:space="preserve">, что выполняется в экспериментах и </w:t>
      </w:r>
      <w:r>
        <w:rPr>
          <w:lang w:val="en-US"/>
        </w:rPr>
        <w:t>Y</w:t>
      </w:r>
      <w:r>
        <w:t xml:space="preserve">=2.5, часть роста </w:t>
      </w:r>
      <w:r w:rsidRPr="00E27A23">
        <w:t>Te</w:t>
      </w:r>
      <w:r>
        <w:t xml:space="preserve"> , наблюдаемого после перехода, объясняется спадом потока частиц в момент перехода.</w:t>
      </w:r>
      <w:r w:rsidRPr="00B73C2E">
        <w:t xml:space="preserve"> </w:t>
      </w:r>
      <w:r>
        <w:t xml:space="preserve">При </w:t>
      </w:r>
      <w:r>
        <w:rPr>
          <w:lang w:val="en-US"/>
        </w:rPr>
        <w:t>Y</w:t>
      </w:r>
      <w:r>
        <w:t>=1.5 роста не происходит и  абсолютная величина δχ</w:t>
      </w:r>
      <w:r w:rsidRPr="00450E74">
        <w:rPr>
          <w:vertAlign w:val="subscript"/>
          <w:lang w:val="en-US"/>
        </w:rPr>
        <w:t>e</w:t>
      </w:r>
      <w:r>
        <w:t xml:space="preserve"> (</w:t>
      </w:r>
      <w:r>
        <w:rPr>
          <w:lang w:val="en-US"/>
        </w:rPr>
        <w:t>r</w:t>
      </w:r>
      <w:r>
        <w:t>) вырастает.</w:t>
      </w:r>
    </w:p>
    <w:p w:rsidR="00052C87" w:rsidRPr="00AB574A" w:rsidRDefault="00052C87" w:rsidP="00052C87">
      <w:pPr>
        <w:pStyle w:val="Zv-bodyreport"/>
      </w:pPr>
      <w:r>
        <w:t xml:space="preserve">Моделирование переходов проводится с использованием транспортного кода </w:t>
      </w:r>
      <w:r>
        <w:rPr>
          <w:lang w:val="en-US"/>
        </w:rPr>
        <w:t>ASTRA</w:t>
      </w:r>
      <w:r>
        <w:t xml:space="preserve">. Профили поглощенной ЭЦ-мощности и генерируемого  ЭЦ-волнами тока рассчитаны кодом </w:t>
      </w:r>
      <w:r>
        <w:rPr>
          <w:lang w:val="en-US"/>
        </w:rPr>
        <w:t>OGRAY</w:t>
      </w:r>
      <w:r w:rsidRPr="00AB574A">
        <w:t xml:space="preserve"> </w:t>
      </w:r>
      <w:r w:rsidRPr="00E27A23">
        <w:t>[</w:t>
      </w:r>
      <w:r w:rsidRPr="00AB574A">
        <w:t>10</w:t>
      </w:r>
      <w:r w:rsidRPr="00E27A23">
        <w:t>]</w:t>
      </w:r>
      <w:r>
        <w:t xml:space="preserve"> (решение уравнения Фоккер-Планка)</w:t>
      </w:r>
      <w:r w:rsidRPr="00E27A23">
        <w:t>.</w:t>
      </w:r>
      <w:r w:rsidRPr="00AB574A">
        <w:t xml:space="preserve"> </w:t>
      </w:r>
      <w:r w:rsidRPr="00E27A23">
        <w:t xml:space="preserve"> </w:t>
      </w:r>
      <w:r w:rsidRPr="00AB574A">
        <w:t xml:space="preserve"> </w:t>
      </w:r>
      <w:r>
        <w:t>П</w:t>
      </w:r>
      <w:r w:rsidRPr="00E27A23">
        <w:t>ри одновременной co+contr- генерации тока EC-волнами</w:t>
      </w:r>
      <w:r>
        <w:t xml:space="preserve"> расчеты проводятся для двух гиротронов одновременно (зоны поглощения пересекаются). Работа поддержана госкорпорацией РОСАТОМ.</w:t>
      </w:r>
    </w:p>
    <w:p w:rsidR="00052C87" w:rsidRPr="00E46AB0" w:rsidRDefault="00052C87" w:rsidP="00052C87">
      <w:pPr>
        <w:pStyle w:val="Zv-TitleReferences-ru"/>
      </w:pPr>
      <w:r w:rsidRPr="0094231D">
        <w:t>Литература</w:t>
      </w:r>
    </w:p>
    <w:p w:rsidR="00052C87" w:rsidRPr="00262C0F" w:rsidRDefault="00052C87" w:rsidP="00052C87">
      <w:pPr>
        <w:pStyle w:val="Zv-References-ru"/>
      </w:pPr>
      <w:r w:rsidRPr="004B3064">
        <w:t xml:space="preserve">Neudatchin S V, Cordey J G and Muir D J 20th EPS Conf. on Control. Fus. and Plasma Phys. </w:t>
      </w:r>
      <w:r>
        <w:t xml:space="preserve">     </w:t>
      </w:r>
      <w:r w:rsidRPr="004B3064">
        <w:t xml:space="preserve">(Lisboa,) vol. </w:t>
      </w:r>
      <w:r w:rsidRPr="004B3064">
        <w:rPr>
          <w:b/>
        </w:rPr>
        <w:t>I</w:t>
      </w:r>
      <w:r w:rsidRPr="004B3064">
        <w:t xml:space="preserve"> (</w:t>
      </w:r>
      <w:smartTag w:uri="urn:schemas-microsoft-com:office:smarttags" w:element="place">
        <w:smartTag w:uri="urn:schemas-microsoft-com:office:smarttags" w:element="City">
          <w:r w:rsidRPr="004B3064">
            <w:t>Geneva</w:t>
          </w:r>
        </w:smartTag>
      </w:smartTag>
      <w:r w:rsidRPr="004B3064">
        <w:t xml:space="preserve"> : EPS), p 83 (1993)</w:t>
      </w:r>
    </w:p>
    <w:p w:rsidR="00052C87" w:rsidRDefault="00052C87" w:rsidP="00052C87">
      <w:pPr>
        <w:pStyle w:val="Zv-References-ru"/>
      </w:pPr>
      <w:r w:rsidRPr="00A66636">
        <w:t>Neudatchin S V, Takizuka</w:t>
      </w:r>
      <w:r>
        <w:t xml:space="preserve"> T et al.,</w:t>
      </w:r>
      <w:r w:rsidRPr="00A66636">
        <w:t xml:space="preserve"> Japan J. Appl. Phys. </w:t>
      </w:r>
      <w:r w:rsidRPr="00A66636">
        <w:rPr>
          <w:b/>
        </w:rPr>
        <w:t xml:space="preserve">35 </w:t>
      </w:r>
      <w:r w:rsidRPr="00A66636">
        <w:t>3595 (1996)</w:t>
      </w:r>
    </w:p>
    <w:p w:rsidR="00052C87" w:rsidRDefault="00052C87" w:rsidP="00052C87">
      <w:pPr>
        <w:pStyle w:val="Zv-References-ru"/>
      </w:pPr>
      <w:r w:rsidRPr="005C1F17">
        <w:t xml:space="preserve">Neudatchin S. V., Takizuka T., et al., Plasma Phys. Control. Fusion </w:t>
      </w:r>
      <w:r w:rsidRPr="0058616E">
        <w:t>44</w:t>
      </w:r>
      <w:r w:rsidRPr="005C1F17">
        <w:t xml:space="preserve"> A383-389 (2002)</w:t>
      </w:r>
    </w:p>
    <w:p w:rsidR="00052C87" w:rsidRPr="000D652A" w:rsidRDefault="00052C87" w:rsidP="00052C87">
      <w:pPr>
        <w:pStyle w:val="Zv-References-ru"/>
        <w:rPr>
          <w:color w:val="000000"/>
          <w:kern w:val="24"/>
        </w:rPr>
      </w:pPr>
      <w:r w:rsidRPr="000D652A">
        <w:rPr>
          <w:color w:val="000000"/>
          <w:kern w:val="24"/>
        </w:rPr>
        <w:t>Neudatchin S V., Inagaki S, Itoh K., Kislov A.Ya. et al. 2004 J. Pl.</w:t>
      </w:r>
      <w:r>
        <w:rPr>
          <w:color w:val="000000"/>
          <w:kern w:val="24"/>
        </w:rPr>
        <w:t xml:space="preserve"> and Fus. Res. Ser</w:t>
      </w:r>
      <w:r w:rsidRPr="000D652A">
        <w:rPr>
          <w:color w:val="000000"/>
          <w:kern w:val="24"/>
        </w:rPr>
        <w:t xml:space="preserve"> </w:t>
      </w:r>
      <w:r w:rsidRPr="00FE1991">
        <w:rPr>
          <w:b/>
          <w:bCs/>
          <w:color w:val="000000"/>
          <w:kern w:val="24"/>
        </w:rPr>
        <w:t>6</w:t>
      </w:r>
      <w:r w:rsidRPr="000D652A">
        <w:rPr>
          <w:color w:val="000000"/>
          <w:kern w:val="24"/>
        </w:rPr>
        <w:t xml:space="preserve"> 134</w:t>
      </w:r>
    </w:p>
    <w:p w:rsidR="00052C87" w:rsidRPr="002F0D15" w:rsidRDefault="00052C87" w:rsidP="00052C87">
      <w:pPr>
        <w:pStyle w:val="Zv-References-ru"/>
      </w:pPr>
      <w:r w:rsidRPr="0058616E">
        <w:t>Neudatchin S.V, Shelukhin D.A.</w:t>
      </w:r>
      <w:r>
        <w:t>,</w:t>
      </w:r>
      <w:r w:rsidRPr="0058616E">
        <w:t xml:space="preserve"> Mustafin</w:t>
      </w:r>
      <w:r w:rsidRPr="00F750A0">
        <w:t xml:space="preserve"> </w:t>
      </w:r>
      <w:r w:rsidRPr="0058616E">
        <w:t>N.A.</w:t>
      </w:r>
      <w:r w:rsidRPr="00F750A0">
        <w:t xml:space="preserve">  </w:t>
      </w:r>
      <w:r w:rsidRPr="0058616E">
        <w:t xml:space="preserve">2017 J. Phys.: Conf. Ser. </w:t>
      </w:r>
      <w:r w:rsidRPr="00FE1991">
        <w:rPr>
          <w:b/>
          <w:bCs/>
        </w:rPr>
        <w:t xml:space="preserve">907 </w:t>
      </w:r>
      <w:r w:rsidRPr="0058616E">
        <w:t>012015</w:t>
      </w:r>
    </w:p>
    <w:p w:rsidR="00052C87" w:rsidRPr="000C7084" w:rsidRDefault="00052C87" w:rsidP="00052C87">
      <w:pPr>
        <w:pStyle w:val="Zv-References-ru"/>
      </w:pPr>
      <w:r w:rsidRPr="00F55367">
        <w:rPr>
          <w:noProof/>
          <w:lang w:val="en-GB"/>
        </w:rPr>
        <w:t>A</w:t>
      </w:r>
      <w:r w:rsidRPr="004073DC">
        <w:rPr>
          <w:noProof/>
        </w:rPr>
        <w:t xml:space="preserve">. </w:t>
      </w:r>
      <w:r w:rsidRPr="00F55367">
        <w:rPr>
          <w:noProof/>
          <w:lang w:val="en-GB"/>
        </w:rPr>
        <w:t>Borschegovskiy</w:t>
      </w:r>
      <w:r w:rsidRPr="004073DC">
        <w:rPr>
          <w:noProof/>
        </w:rPr>
        <w:t xml:space="preserve">, </w:t>
      </w:r>
      <w:r w:rsidRPr="00F55367">
        <w:rPr>
          <w:noProof/>
          <w:lang w:val="en-GB"/>
        </w:rPr>
        <w:t>S</w:t>
      </w:r>
      <w:r w:rsidRPr="004073DC">
        <w:rPr>
          <w:noProof/>
        </w:rPr>
        <w:t>.</w:t>
      </w:r>
      <w:r>
        <w:rPr>
          <w:noProof/>
        </w:rPr>
        <w:t xml:space="preserve"> </w:t>
      </w:r>
      <w:r w:rsidRPr="00F55367">
        <w:rPr>
          <w:noProof/>
          <w:lang w:val="en-GB"/>
        </w:rPr>
        <w:t>Neudatchin</w:t>
      </w:r>
      <w:r w:rsidRPr="004073DC">
        <w:rPr>
          <w:noProof/>
        </w:rPr>
        <w:t xml:space="preserve">, </w:t>
      </w:r>
      <w:r>
        <w:rPr>
          <w:noProof/>
        </w:rPr>
        <w:t>I. Pimenov et al</w:t>
      </w:r>
      <w:r>
        <w:rPr>
          <w:noProof/>
          <w:lang w:val="en-GB"/>
        </w:rPr>
        <w:t>,</w:t>
      </w:r>
      <w:r w:rsidRPr="000C7084">
        <w:rPr>
          <w:noProof/>
        </w:rPr>
        <w:t xml:space="preserve"> </w:t>
      </w:r>
      <w:r w:rsidRPr="008025F7">
        <w:rPr>
          <w:noProof/>
        </w:rPr>
        <w:t xml:space="preserve">2019 EPJ Web of Conf. </w:t>
      </w:r>
      <w:r w:rsidRPr="00FE1991">
        <w:rPr>
          <w:b/>
          <w:bCs/>
          <w:noProof/>
        </w:rPr>
        <w:t>203</w:t>
      </w:r>
      <w:r w:rsidRPr="008025F7">
        <w:rPr>
          <w:noProof/>
        </w:rPr>
        <w:t>, 02004</w:t>
      </w:r>
    </w:p>
    <w:p w:rsidR="00052C87" w:rsidRPr="00E46AB0" w:rsidRDefault="00052C87" w:rsidP="00052C87">
      <w:pPr>
        <w:pStyle w:val="Zv-References-ru"/>
      </w:pPr>
      <w:r>
        <w:rPr>
          <w:noProof/>
        </w:rPr>
        <w:t>S.V. Neudatchin, I.</w:t>
      </w:r>
      <w:r w:rsidRPr="008025F7">
        <w:rPr>
          <w:noProof/>
        </w:rPr>
        <w:t>S</w:t>
      </w:r>
      <w:r>
        <w:rPr>
          <w:noProof/>
        </w:rPr>
        <w:t>. Pimenov, et al.,</w:t>
      </w:r>
      <w:r w:rsidRPr="008025F7">
        <w:rPr>
          <w:noProof/>
        </w:rPr>
        <w:t xml:space="preserve"> - to appear in : 2019, J. Phys.: Conf. Ser</w:t>
      </w:r>
      <w:r>
        <w:rPr>
          <w:noProof/>
        </w:rPr>
        <w:t>.</w:t>
      </w:r>
    </w:p>
    <w:p w:rsidR="00052C87" w:rsidRPr="002F0D15" w:rsidRDefault="00052C87" w:rsidP="00052C87">
      <w:pPr>
        <w:pStyle w:val="Zv-References-ru"/>
      </w:pPr>
      <w:r>
        <w:rPr>
          <w:color w:val="000000"/>
          <w:kern w:val="24"/>
        </w:rPr>
        <w:t>Kasyano</w:t>
      </w:r>
      <w:r w:rsidRPr="002F0D15">
        <w:rPr>
          <w:color w:val="000000"/>
          <w:kern w:val="24"/>
        </w:rPr>
        <w:t>va N.</w:t>
      </w:r>
      <w:r>
        <w:rPr>
          <w:color w:val="000000"/>
          <w:kern w:val="24"/>
        </w:rPr>
        <w:t>V</w:t>
      </w:r>
      <w:r w:rsidRPr="002F0D15">
        <w:rPr>
          <w:color w:val="000000"/>
          <w:kern w:val="24"/>
        </w:rPr>
        <w:t>.</w:t>
      </w:r>
      <w:r>
        <w:rPr>
          <w:color w:val="000000"/>
          <w:kern w:val="24"/>
        </w:rPr>
        <w:t>,Rasumova K.A.</w:t>
      </w:r>
      <w:r w:rsidRPr="002F0D15">
        <w:rPr>
          <w:color w:val="000000"/>
          <w:kern w:val="24"/>
        </w:rPr>
        <w:t xml:space="preserve"> et al, </w:t>
      </w:r>
      <w:r>
        <w:rPr>
          <w:color w:val="000000"/>
          <w:kern w:val="24"/>
        </w:rPr>
        <w:t>in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Procs</w:t>
      </w:r>
      <w:r w:rsidRPr="002F0D15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of</w:t>
      </w:r>
      <w:r w:rsidRPr="002F0D15">
        <w:rPr>
          <w:color w:val="000000"/>
          <w:kern w:val="24"/>
        </w:rPr>
        <w:t xml:space="preserve"> 45</w:t>
      </w:r>
      <w:r>
        <w:rPr>
          <w:color w:val="000000"/>
          <w:kern w:val="24"/>
        </w:rPr>
        <w:t>th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EPS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Conf</w:t>
      </w:r>
      <w:r w:rsidRPr="002F0D15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on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Pl</w:t>
      </w:r>
      <w:r w:rsidRPr="002F0D15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Ph</w:t>
      </w:r>
      <w:r w:rsidRPr="002F0D15">
        <w:rPr>
          <w:color w:val="000000"/>
          <w:kern w:val="24"/>
        </w:rPr>
        <w:t>. 2018, Prague, ECA, Vol 42A, P4. 1</w:t>
      </w:r>
      <w:r>
        <w:rPr>
          <w:color w:val="000000"/>
          <w:kern w:val="24"/>
        </w:rPr>
        <w:t>106</w:t>
      </w:r>
    </w:p>
    <w:p w:rsidR="00052C87" w:rsidRPr="00E46AB0" w:rsidRDefault="00052C87" w:rsidP="00052C87">
      <w:pPr>
        <w:pStyle w:val="Zv-References-ru"/>
      </w:pPr>
      <w:r w:rsidRPr="002F0D15">
        <w:rPr>
          <w:color w:val="000000"/>
          <w:kern w:val="24"/>
        </w:rPr>
        <w:t>Kirneva N.A. et al, 45</w:t>
      </w:r>
      <w:r>
        <w:rPr>
          <w:color w:val="000000"/>
          <w:kern w:val="24"/>
        </w:rPr>
        <w:t>th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EPS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Conf</w:t>
      </w:r>
      <w:r w:rsidRPr="002F0D15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on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Pl</w:t>
      </w:r>
      <w:r w:rsidRPr="002F0D15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Ph</w:t>
      </w:r>
      <w:r w:rsidRPr="002F0D15">
        <w:rPr>
          <w:color w:val="000000"/>
          <w:kern w:val="24"/>
        </w:rPr>
        <w:t>. 2018, Prague, ECA, Vol 42A, P</w:t>
      </w:r>
      <w:r>
        <w:rPr>
          <w:color w:val="000000"/>
          <w:kern w:val="24"/>
        </w:rPr>
        <w:t>4. 1081</w:t>
      </w:r>
    </w:p>
    <w:p w:rsidR="00654A7B" w:rsidRDefault="00052C87" w:rsidP="00052C87">
      <w:pPr>
        <w:pStyle w:val="Zv-References-ru"/>
        <w:rPr>
          <w:lang w:val="en-US"/>
        </w:rPr>
      </w:pPr>
      <w:r>
        <w:t>Zvonkov</w:t>
      </w:r>
      <w:r w:rsidRPr="00E46AB0">
        <w:t xml:space="preserve"> </w:t>
      </w:r>
      <w:r>
        <w:t>A</w:t>
      </w:r>
      <w:r w:rsidRPr="00E46AB0">
        <w:t>.</w:t>
      </w:r>
      <w:r>
        <w:t>V</w:t>
      </w:r>
      <w:r w:rsidRPr="00E46AB0">
        <w:t xml:space="preserve">., </w:t>
      </w:r>
      <w:hyperlink r:id="rId8" w:history="1">
        <w:r w:rsidRPr="00A128D5">
          <w:t>Kuyanov</w:t>
        </w:r>
      </w:hyperlink>
      <w:r w:rsidRPr="00E46AB0">
        <w:t xml:space="preserve"> </w:t>
      </w:r>
      <w:r w:rsidRPr="00676756">
        <w:t>A</w:t>
      </w:r>
      <w:r w:rsidRPr="00E46AB0">
        <w:t xml:space="preserve">. </w:t>
      </w:r>
      <w:r w:rsidRPr="00676756">
        <w:t>Yu</w:t>
      </w:r>
      <w:r w:rsidRPr="00E46AB0">
        <w:t xml:space="preserve">., </w:t>
      </w:r>
      <w:hyperlink r:id="rId9" w:history="1">
        <w:r w:rsidRPr="00E46AB0">
          <w:t xml:space="preserve"> </w:t>
        </w:r>
        <w:r w:rsidRPr="00A128D5">
          <w:t>Skovoroda</w:t>
        </w:r>
      </w:hyperlink>
      <w:r w:rsidRPr="00E46AB0">
        <w:t xml:space="preserve"> </w:t>
      </w:r>
      <w:r w:rsidRPr="00676756">
        <w:t>A</w:t>
      </w:r>
      <w:r w:rsidRPr="00E46AB0">
        <w:t xml:space="preserve">. </w:t>
      </w:r>
      <w:r w:rsidRPr="00676756">
        <w:t>A</w:t>
      </w:r>
      <w:r w:rsidRPr="00E46AB0">
        <w:t xml:space="preserve">., </w:t>
      </w:r>
      <w:r>
        <w:t>et</w:t>
      </w:r>
      <w:r w:rsidRPr="00E46AB0">
        <w:t xml:space="preserve"> </w:t>
      </w:r>
      <w:r>
        <w:t>al</w:t>
      </w:r>
      <w:r w:rsidRPr="00E46AB0">
        <w:t xml:space="preserve">, 1998 </w:t>
      </w:r>
      <w:r w:rsidRPr="00546665">
        <w:t>Plasma</w:t>
      </w:r>
      <w:r w:rsidRPr="00E46AB0">
        <w:t xml:space="preserve"> </w:t>
      </w:r>
      <w:r w:rsidRPr="00546665">
        <w:t>Phys</w:t>
      </w:r>
      <w:r w:rsidRPr="00E46AB0">
        <w:t xml:space="preserve">. </w:t>
      </w:r>
      <w:r w:rsidRPr="00546665">
        <w:t>Rep</w:t>
      </w:r>
      <w:r w:rsidRPr="00E46AB0">
        <w:t xml:space="preserve">. </w:t>
      </w:r>
      <w:r w:rsidRPr="00E46AB0">
        <w:rPr>
          <w:b/>
          <w:bCs/>
        </w:rPr>
        <w:t>24</w:t>
      </w:r>
      <w:r>
        <w:rPr>
          <w:b/>
          <w:bCs/>
        </w:rPr>
        <w:t> </w:t>
      </w:r>
      <w:r w:rsidRPr="00E46AB0">
        <w:t>389</w:t>
      </w: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1A" w:rsidRDefault="009C481A">
      <w:r>
        <w:separator/>
      </w:r>
    </w:p>
  </w:endnote>
  <w:endnote w:type="continuationSeparator" w:id="0">
    <w:p w:rsidR="009C481A" w:rsidRDefault="009C4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E1E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E1E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767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1A" w:rsidRDefault="009C481A">
      <w:r>
        <w:separator/>
      </w:r>
    </w:p>
  </w:footnote>
  <w:footnote w:type="continuationSeparator" w:id="0">
    <w:p w:rsidR="009C481A" w:rsidRDefault="009C481A">
      <w:r>
        <w:continuationSeparator/>
      </w:r>
    </w:p>
  </w:footnote>
  <w:footnote w:id="1">
    <w:p w:rsidR="001A7678" w:rsidRPr="001A7678" w:rsidRDefault="001A7678">
      <w:pPr>
        <w:pStyle w:val="a8"/>
        <w:rPr>
          <w:sz w:val="22"/>
          <w:szCs w:val="22"/>
          <w:lang w:val="en-US"/>
        </w:rPr>
      </w:pPr>
      <w:r w:rsidRPr="001A7678">
        <w:rPr>
          <w:rStyle w:val="aa"/>
          <w:sz w:val="22"/>
          <w:szCs w:val="22"/>
        </w:rPr>
        <w:t>*)</w:t>
      </w:r>
      <w:r w:rsidRPr="001A7678">
        <w:rPr>
          <w:sz w:val="22"/>
          <w:szCs w:val="22"/>
        </w:rPr>
        <w:t xml:space="preserve">  </w:t>
      </w:r>
      <w:hyperlink r:id="rId1" w:history="1">
        <w:r w:rsidRPr="001A7678">
          <w:rPr>
            <w:rStyle w:val="ab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E1EF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481A"/>
    <w:rsid w:val="00037DCC"/>
    <w:rsid w:val="00043701"/>
    <w:rsid w:val="00052C87"/>
    <w:rsid w:val="000C7078"/>
    <w:rsid w:val="000D76E9"/>
    <w:rsid w:val="000E495B"/>
    <w:rsid w:val="00140645"/>
    <w:rsid w:val="00171964"/>
    <w:rsid w:val="001A7678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E1EFC"/>
    <w:rsid w:val="00802D35"/>
    <w:rsid w:val="008E2894"/>
    <w:rsid w:val="00941425"/>
    <w:rsid w:val="0094721E"/>
    <w:rsid w:val="009C481A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C8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21">
    <w:name w:val="Body Text 2"/>
    <w:basedOn w:val="a"/>
    <w:link w:val="22"/>
    <w:rsid w:val="00052C87"/>
    <w:pPr>
      <w:spacing w:after="120" w:line="480" w:lineRule="auto"/>
    </w:pPr>
    <w:rPr>
      <w:kern w:val="2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52C87"/>
    <w:rPr>
      <w:kern w:val="2"/>
    </w:rPr>
  </w:style>
  <w:style w:type="character" w:customStyle="1" w:styleId="a7">
    <w:name w:val="Основной текст Знак"/>
    <w:basedOn w:val="a0"/>
    <w:link w:val="a6"/>
    <w:locked/>
    <w:rsid w:val="00052C87"/>
    <w:rPr>
      <w:sz w:val="24"/>
      <w:szCs w:val="24"/>
    </w:rPr>
  </w:style>
  <w:style w:type="paragraph" w:styleId="a8">
    <w:name w:val="footnote text"/>
    <w:basedOn w:val="a"/>
    <w:link w:val="a9"/>
    <w:rsid w:val="001A767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A7678"/>
  </w:style>
  <w:style w:type="character" w:styleId="aa">
    <w:name w:val="footnote reference"/>
    <w:basedOn w:val="a0"/>
    <w:rsid w:val="001A7678"/>
    <w:rPr>
      <w:vertAlign w:val="superscript"/>
    </w:rPr>
  </w:style>
  <w:style w:type="character" w:styleId="ab">
    <w:name w:val="Hyperlink"/>
    <w:basedOn w:val="a0"/>
    <w:rsid w:val="001A76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scientific-contributions/85011021_A_Yu_Kuyan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scientific-contributions/78098725_A_A_Skovoroda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B-Neudac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12FE3-D109-4EEB-965D-32877497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500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ПОЛУГЛОБАЛЬНЫХ  L-H ПЕРЕХОДОВ В РАЗНЫХ РЕЖИМАХ ГЕНЕРАЦИИ ТОКА ЭЦ-ВОЛНАМИ В ТОКАМАКЕ Т-10</dc:title>
  <dc:creator>sato</dc:creator>
  <cp:lastModifiedBy>Сатунин</cp:lastModifiedBy>
  <cp:revision>2</cp:revision>
  <cp:lastPrinted>1601-01-01T00:00:00Z</cp:lastPrinted>
  <dcterms:created xsi:type="dcterms:W3CDTF">2020-02-11T21:04:00Z</dcterms:created>
  <dcterms:modified xsi:type="dcterms:W3CDTF">2020-04-16T16:56:00Z</dcterms:modified>
</cp:coreProperties>
</file>