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DD" w:rsidRPr="005C2ED3" w:rsidRDefault="006D02EF" w:rsidP="007C0CDD">
      <w:pPr>
        <w:pStyle w:val="Zv-Titlereport"/>
        <w:rPr>
          <w:lang w:val="en-US"/>
        </w:rPr>
      </w:pPr>
      <w:r w:rsidRPr="006D02EF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192pt;height:26.25pt;z-index:-251656192;mso-position-horizontal:absolute" stroked="f" strokecolor="red">
            <v:textbox style="mso-next-textbox:#_x0000_s1026">
              <w:txbxContent>
                <w:p w:rsidR="006D02EF" w:rsidRPr="0095603D" w:rsidRDefault="006D02EF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D02EF">
                    <w:rPr>
                      <w:sz w:val="22"/>
                      <w:szCs w:val="22"/>
                    </w:rPr>
                    <w:t>10.34854/ICPAF.2020.47.1.053</w:t>
                  </w:r>
                </w:p>
              </w:txbxContent>
            </v:textbox>
            <w10:anchorlock/>
          </v:shape>
        </w:pict>
      </w:r>
      <w:r w:rsidR="007C0CDD" w:rsidRPr="005C2ED3">
        <w:rPr>
          <w:lang w:val="en-US"/>
        </w:rPr>
        <w:t>DETERMINATION OF THE CHARGED PARTICLES SOURCE USING SPECTRAL DIAGNOSTICS O</w:t>
      </w:r>
      <w:r w:rsidR="007C0CDD">
        <w:rPr>
          <w:lang w:val="en-US"/>
        </w:rPr>
        <w:t>F</w:t>
      </w:r>
      <w:r w:rsidR="007C0CDD" w:rsidRPr="005C2ED3">
        <w:rPr>
          <w:lang w:val="en-US"/>
        </w:rPr>
        <w:t xml:space="preserve"> THE T-10 </w:t>
      </w:r>
      <w:r w:rsidR="007C0CDD">
        <w:rPr>
          <w:lang w:val="en-US"/>
        </w:rPr>
        <w:t>TOKAMAK</w:t>
      </w:r>
      <w:r>
        <w:rPr>
          <w:lang w:val="en-US"/>
        </w:rPr>
        <w:t xml:space="preserve"> </w:t>
      </w:r>
      <w:r>
        <w:rPr>
          <w:rStyle w:val="ad"/>
          <w:lang w:val="en-US"/>
        </w:rPr>
        <w:footnoteReference w:customMarkFollows="1" w:id="1"/>
        <w:t>*)</w:t>
      </w:r>
    </w:p>
    <w:p w:rsidR="007C0CDD" w:rsidRPr="005C2ED3" w:rsidRDefault="007C0CDD" w:rsidP="007C0CDD">
      <w:pPr>
        <w:pStyle w:val="Zv-Author"/>
        <w:rPr>
          <w:lang w:val="en-US"/>
        </w:rPr>
      </w:pPr>
      <w:r w:rsidRPr="00A75B56">
        <w:rPr>
          <w:vertAlign w:val="superscript"/>
          <w:lang w:val="en-US"/>
        </w:rPr>
        <w:t>1,2</w:t>
      </w:r>
      <w:r w:rsidRPr="00A75B56">
        <w:rPr>
          <w:u w:val="single"/>
          <w:lang w:val="en-US"/>
        </w:rPr>
        <w:t>Zemtsov</w:t>
      </w:r>
      <w:r w:rsidRPr="007C0CDD">
        <w:rPr>
          <w:u w:val="single"/>
          <w:lang w:val="en-US"/>
        </w:rPr>
        <w:t xml:space="preserve"> </w:t>
      </w:r>
      <w:r w:rsidRPr="00A75B56">
        <w:rPr>
          <w:u w:val="single"/>
          <w:lang w:val="en-US"/>
        </w:rPr>
        <w:t>I.A.</w:t>
      </w:r>
      <w:r w:rsidRPr="0065745D">
        <w:rPr>
          <w:lang w:val="en-US"/>
        </w:rPr>
        <w:t xml:space="preserve">, </w:t>
      </w:r>
      <w:r w:rsidRPr="0065745D">
        <w:rPr>
          <w:vertAlign w:val="superscript"/>
          <w:lang w:val="en-US"/>
        </w:rPr>
        <w:t>1</w:t>
      </w:r>
      <w:r>
        <w:rPr>
          <w:lang w:val="en-US"/>
        </w:rPr>
        <w:t>Krupin</w:t>
      </w:r>
      <w:r w:rsidRPr="007C0CDD">
        <w:rPr>
          <w:lang w:val="en-US"/>
        </w:rPr>
        <w:t xml:space="preserve"> </w:t>
      </w:r>
      <w:r>
        <w:rPr>
          <w:lang w:val="en-US"/>
        </w:rPr>
        <w:t>V</w:t>
      </w:r>
      <w:r w:rsidRPr="0065745D">
        <w:rPr>
          <w:lang w:val="en-US"/>
        </w:rPr>
        <w:t>.</w:t>
      </w:r>
      <w:r>
        <w:rPr>
          <w:lang w:val="en-US"/>
        </w:rPr>
        <w:t>A</w:t>
      </w:r>
      <w:r w:rsidRPr="0065745D">
        <w:rPr>
          <w:lang w:val="en-US"/>
        </w:rPr>
        <w:t xml:space="preserve">., </w:t>
      </w:r>
      <w:r w:rsidRPr="00A75B56">
        <w:rPr>
          <w:vertAlign w:val="superscript"/>
          <w:lang w:val="en-US"/>
        </w:rPr>
        <w:t>1</w:t>
      </w:r>
      <w:r w:rsidRPr="00A75B56">
        <w:rPr>
          <w:lang w:val="en-US"/>
        </w:rPr>
        <w:t>Nurgaliev</w:t>
      </w:r>
      <w:r w:rsidRPr="007C0CDD">
        <w:rPr>
          <w:lang w:val="en-US"/>
        </w:rPr>
        <w:t xml:space="preserve"> </w:t>
      </w:r>
      <w:r>
        <w:rPr>
          <w:lang w:val="en-US"/>
        </w:rPr>
        <w:t>M</w:t>
      </w:r>
      <w:r w:rsidRPr="0065745D">
        <w:rPr>
          <w:lang w:val="en-US"/>
        </w:rPr>
        <w:t>.</w:t>
      </w:r>
      <w:r>
        <w:rPr>
          <w:lang w:val="en-US"/>
        </w:rPr>
        <w:t>R</w:t>
      </w:r>
      <w:r w:rsidRPr="0065745D">
        <w:rPr>
          <w:lang w:val="en-US"/>
        </w:rPr>
        <w:t>.</w:t>
      </w:r>
      <w:r>
        <w:rPr>
          <w:lang w:val="en-US"/>
        </w:rPr>
        <w:t xml:space="preserve">, </w:t>
      </w:r>
      <w:r w:rsidRPr="00A75B56">
        <w:rPr>
          <w:vertAlign w:val="superscript"/>
          <w:lang w:val="en-US"/>
        </w:rPr>
        <w:t>1</w:t>
      </w:r>
      <w:r w:rsidRPr="00A75B56">
        <w:rPr>
          <w:lang w:val="en-US"/>
        </w:rPr>
        <w:t>Klyuchnikov</w:t>
      </w:r>
      <w:r w:rsidRPr="007C0CDD">
        <w:rPr>
          <w:lang w:val="en-US"/>
        </w:rPr>
        <w:t xml:space="preserve"> </w:t>
      </w:r>
      <w:r w:rsidRPr="00A75B56">
        <w:rPr>
          <w:lang w:val="en-US"/>
        </w:rPr>
        <w:t>L.A.,</w:t>
      </w:r>
      <w:r w:rsidRPr="0065745D">
        <w:rPr>
          <w:lang w:val="en-US"/>
        </w:rPr>
        <w:t xml:space="preserve"> </w:t>
      </w:r>
      <w:r w:rsidRPr="0065745D">
        <w:rPr>
          <w:vertAlign w:val="superscript"/>
          <w:lang w:val="en-US"/>
        </w:rPr>
        <w:t>1</w:t>
      </w:r>
      <w:r>
        <w:rPr>
          <w:lang w:val="en-US"/>
        </w:rPr>
        <w:t>Nemets</w:t>
      </w:r>
      <w:r w:rsidRPr="007C0CDD">
        <w:rPr>
          <w:lang w:val="en-US"/>
        </w:rPr>
        <w:t xml:space="preserve"> </w:t>
      </w:r>
      <w:r>
        <w:rPr>
          <w:lang w:val="en-US"/>
        </w:rPr>
        <w:t>A</w:t>
      </w:r>
      <w:r w:rsidRPr="0065745D">
        <w:rPr>
          <w:lang w:val="en-US"/>
        </w:rPr>
        <w:t>.</w:t>
      </w:r>
      <w:r>
        <w:rPr>
          <w:lang w:val="en-US"/>
        </w:rPr>
        <w:t>R</w:t>
      </w:r>
      <w:r w:rsidRPr="0065745D">
        <w:rPr>
          <w:lang w:val="en-US"/>
        </w:rPr>
        <w:t xml:space="preserve">., </w:t>
      </w:r>
      <w:r w:rsidRPr="0065745D">
        <w:rPr>
          <w:vertAlign w:val="superscript"/>
          <w:lang w:val="en-US"/>
        </w:rPr>
        <w:t>1</w:t>
      </w:r>
      <w:r w:rsidRPr="0065745D">
        <w:rPr>
          <w:lang w:val="en-US"/>
        </w:rPr>
        <w:t>Dnestrovskij</w:t>
      </w:r>
      <w:r w:rsidRPr="007C0CDD">
        <w:rPr>
          <w:lang w:val="en-US"/>
        </w:rPr>
        <w:t xml:space="preserve"> </w:t>
      </w:r>
      <w:r>
        <w:rPr>
          <w:lang w:val="en-US"/>
        </w:rPr>
        <w:t>A</w:t>
      </w:r>
      <w:r w:rsidRPr="0065745D">
        <w:rPr>
          <w:lang w:val="en-US"/>
        </w:rPr>
        <w:t>.</w:t>
      </w:r>
      <w:r>
        <w:rPr>
          <w:lang w:val="en-US"/>
        </w:rPr>
        <w:t>Yu</w:t>
      </w:r>
      <w:r w:rsidRPr="0065745D">
        <w:rPr>
          <w:lang w:val="en-US"/>
        </w:rPr>
        <w:t xml:space="preserve">., </w:t>
      </w:r>
      <w:r w:rsidRPr="0065745D">
        <w:rPr>
          <w:vertAlign w:val="superscript"/>
          <w:lang w:val="en-US"/>
        </w:rPr>
        <w:t>1</w:t>
      </w:r>
      <w:r>
        <w:rPr>
          <w:lang w:val="en-US"/>
        </w:rPr>
        <w:t>Solovev</w:t>
      </w:r>
      <w:r w:rsidRPr="007C0CDD">
        <w:rPr>
          <w:lang w:val="en-US"/>
        </w:rPr>
        <w:t xml:space="preserve"> </w:t>
      </w:r>
      <w:r>
        <w:rPr>
          <w:lang w:val="en-US"/>
        </w:rPr>
        <w:t>N</w:t>
      </w:r>
      <w:r w:rsidRPr="0065745D">
        <w:rPr>
          <w:lang w:val="en-US"/>
        </w:rPr>
        <w:t>.</w:t>
      </w:r>
      <w:r>
        <w:rPr>
          <w:lang w:val="en-US"/>
        </w:rPr>
        <w:t>A</w:t>
      </w:r>
      <w:r w:rsidRPr="0065745D">
        <w:rPr>
          <w:lang w:val="en-US"/>
        </w:rPr>
        <w:t xml:space="preserve">., </w:t>
      </w:r>
      <w:r w:rsidRPr="00252927">
        <w:rPr>
          <w:vertAlign w:val="superscript"/>
          <w:lang w:val="en-US"/>
        </w:rPr>
        <w:t>1</w:t>
      </w:r>
      <w:r>
        <w:rPr>
          <w:lang w:val="en-US"/>
        </w:rPr>
        <w:t>Sergeev</w:t>
      </w:r>
      <w:r w:rsidRPr="007C0CDD">
        <w:rPr>
          <w:lang w:val="en-US"/>
        </w:rPr>
        <w:t xml:space="preserve"> </w:t>
      </w:r>
      <w:r>
        <w:rPr>
          <w:lang w:val="en-US"/>
        </w:rPr>
        <w:t>D</w:t>
      </w:r>
      <w:r w:rsidRPr="0065745D">
        <w:rPr>
          <w:lang w:val="en-US"/>
        </w:rPr>
        <w:t>.</w:t>
      </w:r>
      <w:r>
        <w:rPr>
          <w:lang w:val="en-US"/>
        </w:rPr>
        <w:t>S</w:t>
      </w:r>
      <w:r w:rsidRPr="0065745D">
        <w:rPr>
          <w:lang w:val="en-US"/>
        </w:rPr>
        <w:t xml:space="preserve">., </w:t>
      </w:r>
      <w:r w:rsidRPr="00252927">
        <w:rPr>
          <w:vertAlign w:val="superscript"/>
          <w:lang w:val="en-US"/>
        </w:rPr>
        <w:t>1</w:t>
      </w:r>
      <w:r>
        <w:rPr>
          <w:lang w:val="en-US"/>
        </w:rPr>
        <w:t>Sarychev</w:t>
      </w:r>
      <w:r w:rsidRPr="007C0CDD">
        <w:rPr>
          <w:lang w:val="en-US"/>
        </w:rPr>
        <w:t xml:space="preserve"> </w:t>
      </w:r>
      <w:r>
        <w:rPr>
          <w:lang w:val="en-US"/>
        </w:rPr>
        <w:t>D</w:t>
      </w:r>
      <w:r w:rsidRPr="0065745D">
        <w:rPr>
          <w:lang w:val="en-US"/>
        </w:rPr>
        <w:t>.</w:t>
      </w:r>
      <w:r>
        <w:rPr>
          <w:lang w:val="en-US"/>
        </w:rPr>
        <w:t>V</w:t>
      </w:r>
      <w:r w:rsidRPr="0065745D">
        <w:rPr>
          <w:lang w:val="en-US"/>
        </w:rPr>
        <w:t xml:space="preserve">., </w:t>
      </w:r>
      <w:r w:rsidRPr="00252927">
        <w:rPr>
          <w:vertAlign w:val="superscript"/>
          <w:lang w:val="en-US"/>
        </w:rPr>
        <w:t>1</w:t>
      </w:r>
      <w:r>
        <w:rPr>
          <w:lang w:val="en-US"/>
        </w:rPr>
        <w:t>Trukhin</w:t>
      </w:r>
      <w:r w:rsidRPr="007C0CDD">
        <w:rPr>
          <w:lang w:val="en-US"/>
        </w:rPr>
        <w:t xml:space="preserve"> </w:t>
      </w:r>
      <w:r>
        <w:rPr>
          <w:lang w:val="en-US"/>
        </w:rPr>
        <w:t>V</w:t>
      </w:r>
      <w:r w:rsidRPr="0065745D">
        <w:rPr>
          <w:lang w:val="en-US"/>
        </w:rPr>
        <w:t>.</w:t>
      </w:r>
      <w:r>
        <w:rPr>
          <w:lang w:val="en-US"/>
        </w:rPr>
        <w:t>M</w:t>
      </w:r>
      <w:r w:rsidRPr="0065745D">
        <w:rPr>
          <w:lang w:val="en-US"/>
        </w:rPr>
        <w:t>.</w:t>
      </w:r>
    </w:p>
    <w:p w:rsidR="007C0CDD" w:rsidRPr="00C6656F" w:rsidRDefault="007C0CDD" w:rsidP="007C0CDD">
      <w:pPr>
        <w:pStyle w:val="Zv-Organization"/>
        <w:rPr>
          <w:lang w:val="en-US"/>
        </w:rPr>
      </w:pPr>
      <w:r w:rsidRPr="00C6656F">
        <w:rPr>
          <w:vertAlign w:val="superscript"/>
          <w:lang w:val="en-US"/>
        </w:rPr>
        <w:t>1</w:t>
      </w:r>
      <w:r w:rsidRPr="00C6656F">
        <w:rPr>
          <w:lang w:val="en-US"/>
        </w:rPr>
        <w:t>NRC «Kurchatov Institute», Moscow, Russia</w:t>
      </w:r>
      <w:r w:rsidRPr="00A75B56">
        <w:rPr>
          <w:lang w:val="en-US"/>
        </w:rPr>
        <w:t xml:space="preserve">, </w:t>
      </w:r>
      <w:hyperlink r:id="rId8" w:history="1">
        <w:r w:rsidRPr="006F5423">
          <w:rPr>
            <w:rStyle w:val="a7"/>
            <w:lang w:val="en-US"/>
          </w:rPr>
          <w:t>zemtsov</w:t>
        </w:r>
        <w:r w:rsidRPr="00A75B56">
          <w:rPr>
            <w:rStyle w:val="a7"/>
            <w:lang w:val="en-US"/>
          </w:rPr>
          <w:t>_</w:t>
        </w:r>
        <w:r w:rsidRPr="006F5423">
          <w:rPr>
            <w:rStyle w:val="a7"/>
            <w:lang w:val="en-US"/>
          </w:rPr>
          <w:t>ia</w:t>
        </w:r>
        <w:r w:rsidRPr="00A75B56">
          <w:rPr>
            <w:rStyle w:val="a7"/>
            <w:lang w:val="en-US"/>
          </w:rPr>
          <w:t>@</w:t>
        </w:r>
        <w:r w:rsidRPr="006F5423">
          <w:rPr>
            <w:rStyle w:val="a7"/>
            <w:lang w:val="en-US"/>
          </w:rPr>
          <w:t>nrcki</w:t>
        </w:r>
        <w:r w:rsidRPr="00A75B56">
          <w:rPr>
            <w:rStyle w:val="a7"/>
            <w:lang w:val="en-US"/>
          </w:rPr>
          <w:t>.</w:t>
        </w:r>
        <w:r w:rsidRPr="006F5423">
          <w:rPr>
            <w:rStyle w:val="a7"/>
            <w:lang w:val="en-US"/>
          </w:rPr>
          <w:t>ru</w:t>
        </w:r>
      </w:hyperlink>
      <w:r w:rsidRPr="00C6656F">
        <w:rPr>
          <w:lang w:val="en-US"/>
        </w:rPr>
        <w:br/>
      </w:r>
      <w:r w:rsidRPr="00C6656F">
        <w:rPr>
          <w:vertAlign w:val="superscript"/>
          <w:lang w:val="en-US"/>
        </w:rPr>
        <w:t>2</w:t>
      </w:r>
      <w:r w:rsidRPr="00C6656F">
        <w:rPr>
          <w:lang w:val="en-US"/>
        </w:rPr>
        <w:t>Bauman Moscow State Technical University, Moscow, Russia</w:t>
      </w:r>
    </w:p>
    <w:tbl>
      <w:tblPr>
        <w:tblStyle w:val="a8"/>
        <w:tblpPr w:leftFromText="180" w:rightFromText="180" w:vertAnchor="text" w:horzAnchor="margin" w:tblpXSpec="right" w:tblpY="6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56"/>
      </w:tblGrid>
      <w:tr w:rsidR="007C0CDD" w:rsidTr="0039625C">
        <w:tc>
          <w:tcPr>
            <w:tcW w:w="6156" w:type="dxa"/>
            <w:vAlign w:val="center"/>
          </w:tcPr>
          <w:p w:rsidR="007C0CDD" w:rsidRDefault="007C0CDD" w:rsidP="0039625C">
            <w:pPr>
              <w:pStyle w:val="Zv-bodyreport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3598538" cy="288000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538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CDD" w:rsidRPr="006D02EF" w:rsidTr="0039625C">
        <w:tc>
          <w:tcPr>
            <w:tcW w:w="6156" w:type="dxa"/>
            <w:vAlign w:val="center"/>
          </w:tcPr>
          <w:p w:rsidR="007C0CDD" w:rsidRPr="00BE5C52" w:rsidRDefault="007C0CDD" w:rsidP="0039625C">
            <w:pPr>
              <w:pStyle w:val="Zv-bodyreport"/>
              <w:ind w:firstLine="0"/>
              <w:jc w:val="center"/>
              <w:rPr>
                <w:lang w:val="en-US"/>
              </w:rPr>
            </w:pPr>
            <w:r w:rsidRPr="00F221C4">
              <w:rPr>
                <w:lang w:val="en-US"/>
              </w:rPr>
              <w:t xml:space="preserve">Figure - </w:t>
            </w:r>
            <w:r>
              <w:rPr>
                <w:lang w:val="en-US"/>
              </w:rPr>
              <w:t>P</w:t>
            </w:r>
            <w:r w:rsidRPr="00F221C4">
              <w:rPr>
                <w:lang w:val="en-US"/>
              </w:rPr>
              <w:t>rofiles of various components of an ionization source of electrons</w:t>
            </w:r>
            <w:r>
              <w:rPr>
                <w:lang w:val="en-US"/>
              </w:rPr>
              <w:br/>
            </w:r>
            <w:r w:rsidRPr="00BE5C52">
              <w:rPr>
                <w:lang w:val="en-US"/>
              </w:rPr>
              <w:t>(</w:t>
            </w:r>
            <w:r w:rsidRPr="00BE5C52">
              <w:rPr>
                <w:i/>
                <w:iCs/>
                <w:lang w:val="en-US"/>
              </w:rPr>
              <w:t>T</w:t>
            </w:r>
            <w:r w:rsidRPr="00BE5C52">
              <w:rPr>
                <w:i/>
                <w:iCs/>
                <w:vertAlign w:val="subscript"/>
                <w:lang w:val="en-US"/>
              </w:rPr>
              <w:t>e</w:t>
            </w:r>
            <w:r w:rsidRPr="00BE5C52">
              <w:rPr>
                <w:lang w:val="en-US"/>
              </w:rPr>
              <w:t>(0) = 1 </w:t>
            </w:r>
            <w:r>
              <w:rPr>
                <w:lang w:val="en-US"/>
              </w:rPr>
              <w:t>keV</w:t>
            </w:r>
            <w:r w:rsidRPr="00BE5C52">
              <w:rPr>
                <w:lang w:val="en-US"/>
              </w:rPr>
              <w:t xml:space="preserve">, </w:t>
            </w:r>
            <w:r w:rsidRPr="00BE5C52">
              <w:rPr>
                <w:i/>
                <w:iCs/>
                <w:lang w:val="en-US"/>
              </w:rPr>
              <w:t>n</w:t>
            </w:r>
            <w:r w:rsidRPr="00BE5C52">
              <w:rPr>
                <w:i/>
                <w:iCs/>
                <w:vertAlign w:val="subscript"/>
                <w:lang w:val="en-US"/>
              </w:rPr>
              <w:t>e</w:t>
            </w:r>
            <w:r w:rsidRPr="00BE5C52">
              <w:rPr>
                <w:lang w:val="en-US"/>
              </w:rPr>
              <w:t>(0) = 4,2</w:t>
            </w:r>
            <w:r w:rsidRPr="00BE5C52">
              <w:rPr>
                <w:rFonts w:ascii="Cambria Math" w:hAnsi="Cambria Math" w:cs="Cambria Math"/>
                <w:lang w:val="en-US"/>
              </w:rPr>
              <w:t>⋅10</w:t>
            </w:r>
            <w:r w:rsidRPr="00BE5C52">
              <w:rPr>
                <w:rFonts w:ascii="Cambria Math" w:hAnsi="Cambria Math" w:cs="Cambria Math"/>
                <w:vertAlign w:val="superscript"/>
                <w:lang w:val="en-US"/>
              </w:rPr>
              <w:t>13</w:t>
            </w:r>
            <w:r w:rsidRPr="00BE5C52">
              <w:rPr>
                <w:rFonts w:ascii="Cambria Math" w:hAnsi="Cambria Math" w:cs="Cambria Math"/>
                <w:lang w:val="en-US"/>
              </w:rPr>
              <w:t> </w:t>
            </w:r>
            <w:r>
              <w:rPr>
                <w:rFonts w:ascii="Cambria Math" w:hAnsi="Cambria Math" w:cs="Cambria Math"/>
                <w:lang w:val="en-US"/>
              </w:rPr>
              <w:t>cm</w:t>
            </w:r>
            <w:bookmarkStart w:id="0" w:name="_GoBack"/>
            <w:bookmarkEnd w:id="0"/>
            <w:r w:rsidRPr="00BE5C52">
              <w:rPr>
                <w:rFonts w:ascii="Cambria Math" w:hAnsi="Cambria Math" w:cs="Cambria Math"/>
                <w:vertAlign w:val="superscript"/>
                <w:lang w:val="en-US"/>
              </w:rPr>
              <w:t>-3</w:t>
            </w:r>
            <w:r w:rsidRPr="00BE5C52">
              <w:rPr>
                <w:lang w:val="en-US"/>
              </w:rPr>
              <w:t>)</w:t>
            </w:r>
          </w:p>
        </w:tc>
      </w:tr>
    </w:tbl>
    <w:p w:rsidR="007C0CDD" w:rsidRPr="00F31A51" w:rsidRDefault="007C0CDD" w:rsidP="007C0CDD">
      <w:pPr>
        <w:pStyle w:val="Zv-bodyreport"/>
        <w:rPr>
          <w:lang w:val="en-US"/>
        </w:rPr>
      </w:pPr>
      <w:r w:rsidRPr="00F31A51">
        <w:rPr>
          <w:lang w:val="en-US"/>
        </w:rPr>
        <w:t xml:space="preserve">The paper </w:t>
      </w:r>
      <w:r>
        <w:rPr>
          <w:lang w:val="en-US"/>
        </w:rPr>
        <w:t>is dedicated to the</w:t>
      </w:r>
      <w:r w:rsidRPr="00F31A51">
        <w:rPr>
          <w:lang w:val="en-US"/>
        </w:rPr>
        <w:t xml:space="preserve"> evaluat</w:t>
      </w:r>
      <w:r>
        <w:rPr>
          <w:lang w:val="en-US"/>
        </w:rPr>
        <w:t>on of</w:t>
      </w:r>
      <w:r w:rsidRPr="00F31A51">
        <w:rPr>
          <w:lang w:val="en-US"/>
        </w:rPr>
        <w:t xml:space="preserve"> the electrons and ions source magnitude </w:t>
      </w:r>
      <w:r w:rsidRPr="00F31A51">
        <w:t>Λ</w:t>
      </w:r>
      <w:r w:rsidRPr="00F31A51">
        <w:rPr>
          <w:lang w:val="en-US"/>
        </w:rPr>
        <w:t xml:space="preserve">, carried out by </w:t>
      </w:r>
      <w:r>
        <w:rPr>
          <w:lang w:val="en-US"/>
        </w:rPr>
        <w:t>processing</w:t>
      </w:r>
      <w:r w:rsidRPr="00F31A51">
        <w:rPr>
          <w:lang w:val="en-US"/>
        </w:rPr>
        <w:t xml:space="preserve"> the data </w:t>
      </w:r>
      <w:r>
        <w:rPr>
          <w:lang w:val="en-US"/>
        </w:rPr>
        <w:t>from</w:t>
      </w:r>
      <w:r w:rsidRPr="00F31A51">
        <w:rPr>
          <w:lang w:val="en-US"/>
        </w:rPr>
        <w:t xml:space="preserve"> spectroscopic measurements of the </w:t>
      </w:r>
      <w:r>
        <w:rPr>
          <w:lang w:val="en-US"/>
        </w:rPr>
        <w:t>main</w:t>
      </w:r>
      <w:r w:rsidRPr="00F31A51">
        <w:rPr>
          <w:lang w:val="en-US"/>
        </w:rPr>
        <w:t xml:space="preserve"> gas and impurities lines.</w:t>
      </w:r>
    </w:p>
    <w:p w:rsidR="007C0CDD" w:rsidRPr="00F31A51" w:rsidRDefault="007C0CDD" w:rsidP="007C0CDD">
      <w:pPr>
        <w:pStyle w:val="Zv-bodyreport"/>
        <w:rPr>
          <w:lang w:val="en-US"/>
        </w:rPr>
      </w:pPr>
      <w:r w:rsidRPr="00F31A51">
        <w:rPr>
          <w:lang w:val="en-US"/>
        </w:rPr>
        <w:t xml:space="preserve">The total value of the electron source was determined as the sum of the sources created by the atoms of the </w:t>
      </w:r>
      <w:r>
        <w:rPr>
          <w:lang w:val="en-US"/>
        </w:rPr>
        <w:t>main</w:t>
      </w:r>
      <w:r w:rsidRPr="00F31A51">
        <w:rPr>
          <w:lang w:val="en-US"/>
        </w:rPr>
        <w:t xml:space="preserve"> gas (</w:t>
      </w:r>
      <w:r w:rsidRPr="00F31A51">
        <w:t>Λ</w:t>
      </w:r>
      <w:r w:rsidRPr="0092439A">
        <w:rPr>
          <w:vertAlign w:val="subscript"/>
          <w:lang w:val="en-US"/>
        </w:rPr>
        <w:t>D</w:t>
      </w:r>
      <w:r w:rsidRPr="00F31A51">
        <w:rPr>
          <w:lang w:val="en-US"/>
        </w:rPr>
        <w:t>), as well as by the atoms and ions of impurities C (</w:t>
      </w:r>
      <w:r w:rsidRPr="00F31A51">
        <w:t>Λ</w:t>
      </w:r>
      <w:r w:rsidRPr="0092439A">
        <w:rPr>
          <w:vertAlign w:val="subscript"/>
          <w:lang w:val="en-US"/>
        </w:rPr>
        <w:t>C</w:t>
      </w:r>
      <w:r w:rsidRPr="00F31A51">
        <w:rPr>
          <w:lang w:val="en-US"/>
        </w:rPr>
        <w:t>) and O (</w:t>
      </w:r>
      <w:r w:rsidRPr="00F31A51">
        <w:t>Λ</w:t>
      </w:r>
      <w:r w:rsidRPr="0092439A">
        <w:rPr>
          <w:vertAlign w:val="subscript"/>
          <w:lang w:val="en-US"/>
        </w:rPr>
        <w:t>O</w:t>
      </w:r>
      <w:r w:rsidRPr="00F31A51">
        <w:rPr>
          <w:lang w:val="en-US"/>
        </w:rPr>
        <w:t xml:space="preserve">). </w:t>
      </w:r>
      <w:r w:rsidRPr="00F31A51">
        <w:t>Λ</w:t>
      </w:r>
      <w:r w:rsidRPr="0092439A">
        <w:rPr>
          <w:vertAlign w:val="subscript"/>
          <w:lang w:val="en-US"/>
        </w:rPr>
        <w:t>D</w:t>
      </w:r>
      <w:r w:rsidRPr="00F31A51">
        <w:rPr>
          <w:lang w:val="en-US"/>
        </w:rPr>
        <w:t xml:space="preserve"> consisted of two components: a wall source averaged over the torus surface (</w:t>
      </w: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wall</w:t>
      </w:r>
      <w:r w:rsidRPr="00F31A51">
        <w:rPr>
          <w:lang w:val="en-US"/>
        </w:rPr>
        <w:t>) and a local source from the zone near</w:t>
      </w:r>
      <w:r>
        <w:rPr>
          <w:lang w:val="en-US"/>
        </w:rPr>
        <w:t xml:space="preserve"> the limiters </w:t>
      </w:r>
      <w:r w:rsidRPr="00F31A51">
        <w:rPr>
          <w:lang w:val="en-US"/>
        </w:rPr>
        <w:t>(</w:t>
      </w: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lim</w:t>
      </w:r>
      <w:r w:rsidRPr="00F31A51">
        <w:rPr>
          <w:lang w:val="en-US"/>
        </w:rPr>
        <w:t>).</w:t>
      </w:r>
    </w:p>
    <w:p w:rsidR="007C0CDD" w:rsidRPr="00987001" w:rsidRDefault="007C0CDD" w:rsidP="007C0CDD">
      <w:pPr>
        <w:pStyle w:val="Zv-bodyreport"/>
        <w:rPr>
          <w:lang w:val="en-US"/>
        </w:rPr>
      </w:pP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lim</w:t>
      </w:r>
      <w:r w:rsidRPr="00F31A51">
        <w:rPr>
          <w:lang w:val="en-US"/>
        </w:rPr>
        <w:t xml:space="preserve"> is determined </w:t>
      </w:r>
      <w:r>
        <w:rPr>
          <w:lang w:val="en-US"/>
        </w:rPr>
        <w:t>from</w:t>
      </w:r>
      <w:r w:rsidRPr="00F31A51">
        <w:rPr>
          <w:lang w:val="en-US"/>
        </w:rPr>
        <w:t xml:space="preserve"> the radiation intensity of the D</w:t>
      </w:r>
      <w:r w:rsidRPr="0092439A">
        <w:rPr>
          <w:vertAlign w:val="subscript"/>
        </w:rPr>
        <w:t>α</w:t>
      </w:r>
      <w:r w:rsidRPr="00F31A51">
        <w:rPr>
          <w:lang w:val="en-US"/>
        </w:rPr>
        <w:t xml:space="preserve"> line in the limite</w:t>
      </w:r>
      <w:r>
        <w:rPr>
          <w:lang w:val="en-US"/>
        </w:rPr>
        <w:t>r</w:t>
      </w:r>
      <w:r w:rsidRPr="00F31A51">
        <w:rPr>
          <w:lang w:val="en-US"/>
        </w:rPr>
        <w:t xml:space="preserve"> section of the tokamak recorded with an endoscope. </w:t>
      </w:r>
      <w:r w:rsidRPr="0092439A">
        <w:rPr>
          <w:lang w:val="en-US"/>
        </w:rPr>
        <w:t>To obtain absolute values of</w:t>
      </w:r>
      <w:r>
        <w:rPr>
          <w:lang w:val="en-US"/>
        </w:rPr>
        <w:t xml:space="preserve"> </w:t>
      </w:r>
      <w:r w:rsidRPr="00F31A51">
        <w:rPr>
          <w:lang w:val="en-US"/>
        </w:rPr>
        <w:t>D</w:t>
      </w:r>
      <w:r w:rsidRPr="0092439A">
        <w:rPr>
          <w:vertAlign w:val="subscript"/>
        </w:rPr>
        <w:t>α</w:t>
      </w:r>
      <w:r w:rsidRPr="0092439A">
        <w:rPr>
          <w:lang w:val="en-US"/>
        </w:rPr>
        <w:t xml:space="preserve"> intensity, the absolute calibration of the endoscope was carried out using a </w:t>
      </w:r>
      <w:r>
        <w:rPr>
          <w:lang w:val="en-US"/>
        </w:rPr>
        <w:t>calibrating</w:t>
      </w:r>
      <w:r w:rsidRPr="0092439A">
        <w:rPr>
          <w:lang w:val="en-US"/>
        </w:rPr>
        <w:t xml:space="preserve"> source. </w:t>
      </w: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wall</w:t>
      </w:r>
      <w:r w:rsidRPr="0092439A">
        <w:rPr>
          <w:lang w:val="en-US"/>
        </w:rPr>
        <w:t xml:space="preserve"> is determined as a result of calculations of </w:t>
      </w:r>
      <w:r>
        <w:rPr>
          <w:lang w:val="en-US"/>
        </w:rPr>
        <w:t xml:space="preserve">D </w:t>
      </w:r>
      <w:r w:rsidRPr="0092439A">
        <w:rPr>
          <w:lang w:val="en-US"/>
        </w:rPr>
        <w:t>atom</w:t>
      </w:r>
      <w:r>
        <w:rPr>
          <w:lang w:val="en-US"/>
        </w:rPr>
        <w:t>s radial transport</w:t>
      </w:r>
      <w:r w:rsidRPr="0092439A">
        <w:rPr>
          <w:lang w:val="en-US"/>
        </w:rPr>
        <w:t xml:space="preserve"> using the ASTRA code. Two components of the flux of deuterium atoms from the chamber wall were taken into account: “cold” </w:t>
      </w:r>
      <w:r>
        <w:rPr>
          <w:lang w:val="en-US"/>
        </w:rPr>
        <w:t xml:space="preserve">one </w:t>
      </w:r>
      <w:r w:rsidRPr="0092439A">
        <w:rPr>
          <w:lang w:val="en-US"/>
        </w:rPr>
        <w:t>(3 eV, D</w:t>
      </w:r>
      <w:r w:rsidRPr="0092439A">
        <w:rPr>
          <w:i/>
          <w:iCs/>
          <w:vertAlign w:val="superscript"/>
          <w:lang w:val="en-US"/>
        </w:rPr>
        <w:t>kond</w:t>
      </w:r>
      <w:r w:rsidRPr="0092439A">
        <w:rPr>
          <w:lang w:val="en-US"/>
        </w:rPr>
        <w:t xml:space="preserve">) and “hot” </w:t>
      </w:r>
      <w:r>
        <w:rPr>
          <w:lang w:val="en-US"/>
        </w:rPr>
        <w:t xml:space="preserve">one </w:t>
      </w:r>
      <w:r w:rsidRPr="0092439A">
        <w:rPr>
          <w:lang w:val="en-US"/>
        </w:rPr>
        <w:t>(50 eV, D</w:t>
      </w:r>
      <w:r w:rsidRPr="0092439A">
        <w:rPr>
          <w:i/>
          <w:iCs/>
          <w:vertAlign w:val="superscript"/>
          <w:lang w:val="en-US"/>
        </w:rPr>
        <w:t>heat</w:t>
      </w:r>
      <w:r w:rsidRPr="0092439A">
        <w:rPr>
          <w:lang w:val="en-US"/>
        </w:rPr>
        <w:t xml:space="preserve">). The energy and the ratio of their concentrations </w:t>
      </w:r>
      <w:r w:rsidRPr="0092439A">
        <w:rPr>
          <w:i/>
          <w:iCs/>
          <w:lang w:val="en-US"/>
        </w:rPr>
        <w:t>n</w:t>
      </w:r>
      <w:r w:rsidRPr="0092439A">
        <w:rPr>
          <w:vertAlign w:val="subscript"/>
          <w:lang w:val="en-US"/>
        </w:rPr>
        <w:t>D</w:t>
      </w:r>
      <w:r w:rsidRPr="0092439A">
        <w:rPr>
          <w:i/>
          <w:iCs/>
          <w:vertAlign w:val="superscript"/>
          <w:lang w:val="en-US"/>
        </w:rPr>
        <w:t>kond</w:t>
      </w:r>
      <w:r>
        <w:rPr>
          <w:lang w:val="en-US"/>
        </w:rPr>
        <w:t> </w:t>
      </w:r>
      <w:r w:rsidRPr="0092439A">
        <w:rPr>
          <w:lang w:val="en-US"/>
        </w:rPr>
        <w:t>/</w:t>
      </w:r>
      <w:r>
        <w:rPr>
          <w:lang w:val="en-US"/>
        </w:rPr>
        <w:t> </w:t>
      </w:r>
      <w:r w:rsidRPr="0092439A">
        <w:rPr>
          <w:i/>
          <w:iCs/>
          <w:lang w:val="en-US"/>
        </w:rPr>
        <w:t>n</w:t>
      </w:r>
      <w:r w:rsidRPr="0092439A">
        <w:rPr>
          <w:vertAlign w:val="subscript"/>
          <w:lang w:val="en-US"/>
        </w:rPr>
        <w:t>D</w:t>
      </w:r>
      <w:r w:rsidRPr="0092439A">
        <w:rPr>
          <w:i/>
          <w:iCs/>
          <w:vertAlign w:val="superscript"/>
          <w:lang w:val="en-US"/>
        </w:rPr>
        <w:t>heat</w:t>
      </w:r>
      <w:r>
        <w:rPr>
          <w:lang w:val="en-US"/>
        </w:rPr>
        <w:t> = </w:t>
      </w:r>
      <w:r w:rsidRPr="0092439A">
        <w:rPr>
          <w:lang w:val="en-US"/>
        </w:rPr>
        <w:t xml:space="preserve">5 / 1 </w:t>
      </w:r>
      <w:r>
        <w:rPr>
          <w:lang w:val="en-US"/>
        </w:rPr>
        <w:t>is</w:t>
      </w:r>
      <w:r w:rsidRPr="0092439A">
        <w:rPr>
          <w:lang w:val="en-US"/>
        </w:rPr>
        <w:t xml:space="preserve"> determined from the analysis of the spectrum of the D</w:t>
      </w:r>
      <w:r w:rsidRPr="0092439A">
        <w:rPr>
          <w:vertAlign w:val="subscript"/>
        </w:rPr>
        <w:t>α</w:t>
      </w:r>
      <w:r w:rsidRPr="0092439A">
        <w:rPr>
          <w:lang w:val="en-US"/>
        </w:rPr>
        <w:t xml:space="preserve"> line. The boundary condition </w:t>
      </w:r>
      <w:r w:rsidRPr="0092439A">
        <w:rPr>
          <w:i/>
          <w:iCs/>
          <w:lang w:val="en-US"/>
        </w:rPr>
        <w:t>n</w:t>
      </w:r>
      <w:r w:rsidRPr="0092439A">
        <w:rPr>
          <w:vertAlign w:val="subscript"/>
          <w:lang w:val="en-US"/>
        </w:rPr>
        <w:t>D</w:t>
      </w:r>
      <w:r w:rsidRPr="0092439A">
        <w:rPr>
          <w:lang w:val="en-US"/>
        </w:rPr>
        <w:t>(</w:t>
      </w:r>
      <w:r w:rsidRPr="0092439A">
        <w:rPr>
          <w:i/>
          <w:iCs/>
          <w:lang w:val="en-US"/>
        </w:rPr>
        <w:t>a</w:t>
      </w:r>
      <w:r w:rsidRPr="0092439A">
        <w:rPr>
          <w:i/>
          <w:iCs/>
          <w:vertAlign w:val="subscript"/>
          <w:lang w:val="en-US"/>
        </w:rPr>
        <w:t>L</w:t>
      </w:r>
      <w:r w:rsidRPr="0092439A">
        <w:rPr>
          <w:lang w:val="en-US"/>
        </w:rPr>
        <w:t xml:space="preserve">) was set from the condition of coincidence with the absolute brightness </w:t>
      </w:r>
      <w:r>
        <w:rPr>
          <w:lang w:val="en-US"/>
        </w:rPr>
        <w:t>of</w:t>
      </w:r>
      <w:r w:rsidRPr="0092439A">
        <w:rPr>
          <w:lang w:val="en-US"/>
        </w:rPr>
        <w:t xml:space="preserve"> D</w:t>
      </w:r>
      <w:r w:rsidRPr="0092439A">
        <w:rPr>
          <w:vertAlign w:val="subscript"/>
        </w:rPr>
        <w:t>α</w:t>
      </w:r>
      <w:r w:rsidRPr="0092439A">
        <w:rPr>
          <w:lang w:val="en-US"/>
        </w:rPr>
        <w:t xml:space="preserve">. The ionization sources </w:t>
      </w:r>
      <w:r>
        <w:rPr>
          <w:lang w:val="en-US"/>
        </w:rPr>
        <w:t>from</w:t>
      </w:r>
      <w:r w:rsidRPr="0092439A">
        <w:rPr>
          <w:lang w:val="en-US"/>
        </w:rPr>
        <w:t xml:space="preserve"> impurities </w:t>
      </w:r>
      <w:r w:rsidRPr="00F31A51">
        <w:t>Λ</w:t>
      </w:r>
      <w:r w:rsidRPr="0092439A">
        <w:rPr>
          <w:vertAlign w:val="subscript"/>
          <w:lang w:val="en-US"/>
        </w:rPr>
        <w:t>C</w:t>
      </w:r>
      <w:r w:rsidRPr="0092439A">
        <w:rPr>
          <w:lang w:val="en-US"/>
        </w:rPr>
        <w:t xml:space="preserve"> and </w:t>
      </w:r>
      <w:r w:rsidRPr="00F31A51">
        <w:t>Λ</w:t>
      </w:r>
      <w:r w:rsidRPr="0092439A">
        <w:rPr>
          <w:vertAlign w:val="subscript"/>
          <w:lang w:val="en-US"/>
        </w:rPr>
        <w:t>O</w:t>
      </w:r>
      <w:r w:rsidRPr="0092439A">
        <w:rPr>
          <w:lang w:val="en-US"/>
        </w:rPr>
        <w:t xml:space="preserve"> </w:t>
      </w:r>
      <w:r>
        <w:rPr>
          <w:lang w:val="en-US"/>
        </w:rPr>
        <w:t>are</w:t>
      </w:r>
      <w:r w:rsidRPr="0092439A">
        <w:rPr>
          <w:lang w:val="en-US"/>
        </w:rPr>
        <w:t xml:space="preserve"> determined by describing in the model the radial profiles of the </w:t>
      </w:r>
      <w:r>
        <w:rPr>
          <w:lang w:val="en-US"/>
        </w:rPr>
        <w:t>densities</w:t>
      </w:r>
      <w:r w:rsidRPr="0092439A">
        <w:rPr>
          <w:lang w:val="en-US"/>
        </w:rPr>
        <w:t xml:space="preserve"> of carbon and oxygen nuclei determined from CXRS measurements. </w:t>
      </w:r>
      <w:r w:rsidRPr="00987001">
        <w:rPr>
          <w:lang w:val="en-US"/>
        </w:rPr>
        <w:t>The ionization states of impurities were calculated using the STRAHL code taking into account neoclassical and anomalous trans</w:t>
      </w:r>
      <w:r>
        <w:rPr>
          <w:lang w:val="en-US"/>
        </w:rPr>
        <w:t>port</w:t>
      </w:r>
      <w:r w:rsidRPr="00987001">
        <w:rPr>
          <w:lang w:val="en-US"/>
        </w:rPr>
        <w:t xml:space="preserve"> coefficients [1].</w:t>
      </w:r>
    </w:p>
    <w:p w:rsidR="007C0CDD" w:rsidRPr="00F31A51" w:rsidRDefault="007C0CDD" w:rsidP="007C0CDD">
      <w:pPr>
        <w:pStyle w:val="Zv-bodyreport"/>
        <w:rPr>
          <w:lang w:val="en-US"/>
        </w:rPr>
      </w:pPr>
      <w:r w:rsidRPr="00F31A51">
        <w:rPr>
          <w:lang w:val="en-US"/>
        </w:rPr>
        <w:t>The calculations made it possible to establish the spatial dependence of the source power on the radius, presented in</w:t>
      </w:r>
      <w:r>
        <w:rPr>
          <w:lang w:val="en-US"/>
        </w:rPr>
        <w:t xml:space="preserve"> the</w:t>
      </w:r>
      <w:r w:rsidRPr="00F31A51">
        <w:rPr>
          <w:lang w:val="en-US"/>
        </w:rPr>
        <w:t xml:space="preserve"> Figure. </w:t>
      </w:r>
      <w:r w:rsidRPr="00F221C4">
        <w:rPr>
          <w:lang w:val="en-US"/>
        </w:rPr>
        <w:t>It</w:t>
      </w:r>
      <w:r>
        <w:rPr>
          <w:lang w:val="en-US"/>
        </w:rPr>
        <w:t xml:space="preserve"> is mostly</w:t>
      </w:r>
      <w:r w:rsidRPr="00F221C4">
        <w:rPr>
          <w:lang w:val="en-US"/>
        </w:rPr>
        <w:t xml:space="preserve"> concentrated in the region (0.75...1)</w:t>
      </w:r>
      <w:r>
        <w:rPr>
          <w:lang w:val="en-US"/>
        </w:rPr>
        <w:t> </w:t>
      </w:r>
      <w:r>
        <w:rPr>
          <w:rFonts w:ascii="Cambria Math" w:hAnsi="Cambria Math" w:cs="Cambria Math"/>
          <w:lang w:val="en-US"/>
        </w:rPr>
        <w:t>⋅</w:t>
      </w:r>
      <w:r>
        <w:rPr>
          <w:lang w:val="en-US"/>
        </w:rPr>
        <w:t> </w:t>
      </w:r>
      <w:r w:rsidRPr="00F221C4">
        <w:rPr>
          <w:i/>
          <w:iCs/>
          <w:lang w:val="en-US"/>
        </w:rPr>
        <w:t>a</w:t>
      </w:r>
      <w:r w:rsidRPr="00F221C4">
        <w:rPr>
          <w:i/>
          <w:iCs/>
          <w:vertAlign w:val="subscript"/>
          <w:lang w:val="en-US"/>
        </w:rPr>
        <w:t>L</w:t>
      </w:r>
      <w:r w:rsidRPr="00F221C4">
        <w:rPr>
          <w:lang w:val="en-US"/>
        </w:rPr>
        <w:t xml:space="preserve">. </w:t>
      </w:r>
      <w:r>
        <w:rPr>
          <w:lang w:val="en-US"/>
        </w:rPr>
        <w:t>From the</w:t>
      </w:r>
      <w:r w:rsidRPr="00F221C4">
        <w:rPr>
          <w:lang w:val="en-US"/>
        </w:rPr>
        <w:t xml:space="preserve"> endoscopic measurements, it </w:t>
      </w:r>
      <w:r>
        <w:rPr>
          <w:lang w:val="en-US"/>
        </w:rPr>
        <w:t>is</w:t>
      </w:r>
      <w:r w:rsidRPr="00F221C4">
        <w:rPr>
          <w:lang w:val="en-US"/>
        </w:rPr>
        <w:t xml:space="preserve"> found that the</w:t>
      </w:r>
      <w:r>
        <w:rPr>
          <w:lang w:val="en-US"/>
        </w:rPr>
        <w:t xml:space="preserve"> ratio between</w:t>
      </w:r>
      <w:r w:rsidRPr="00F221C4">
        <w:rPr>
          <w:lang w:val="en-US"/>
        </w:rPr>
        <w:t xml:space="preserve"> fluxes </w:t>
      </w: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wall</w:t>
      </w:r>
      <w:r w:rsidRPr="00F221C4">
        <w:rPr>
          <w:lang w:val="en-US"/>
        </w:rPr>
        <w:t xml:space="preserve"> and </w:t>
      </w:r>
      <w:r w:rsidRPr="00F31A51">
        <w:t>Λ</w:t>
      </w:r>
      <w:r w:rsidRPr="0092439A">
        <w:rPr>
          <w:vertAlign w:val="subscript"/>
          <w:lang w:val="en-US"/>
        </w:rPr>
        <w:t>D,</w:t>
      </w:r>
      <w:r w:rsidRPr="0092439A">
        <w:rPr>
          <w:i/>
          <w:iCs/>
          <w:vertAlign w:val="subscript"/>
          <w:lang w:val="en-US"/>
        </w:rPr>
        <w:t>lim</w:t>
      </w:r>
      <w:r w:rsidRPr="00F221C4">
        <w:rPr>
          <w:lang w:val="en-US"/>
        </w:rPr>
        <w:t xml:space="preserve"> </w:t>
      </w:r>
      <w:r>
        <w:rPr>
          <w:lang w:val="en-US"/>
        </w:rPr>
        <w:t>is as</w:t>
      </w:r>
      <w:r w:rsidRPr="00F221C4">
        <w:rPr>
          <w:lang w:val="en-US"/>
        </w:rPr>
        <w:t xml:space="preserve"> 1 to 2...3. The fraction of the electron source </w:t>
      </w:r>
      <w:r>
        <w:rPr>
          <w:lang w:val="en-US"/>
        </w:rPr>
        <w:t>from the</w:t>
      </w:r>
      <w:r w:rsidRPr="00F221C4">
        <w:rPr>
          <w:lang w:val="en-US"/>
        </w:rPr>
        <w:t xml:space="preserve"> plasma impurities (carbon, oxygen) does not exceed 25% in OH discharges with a value of </w:t>
      </w:r>
      <w:r w:rsidRPr="00F221C4">
        <w:rPr>
          <w:i/>
          <w:iCs/>
          <w:lang w:val="en-US"/>
        </w:rPr>
        <w:t>Z</w:t>
      </w:r>
      <w:r w:rsidRPr="00F221C4">
        <w:rPr>
          <w:vertAlign w:val="subscript"/>
          <w:lang w:val="en-US"/>
        </w:rPr>
        <w:t>eff</w:t>
      </w:r>
      <w:r>
        <w:rPr>
          <w:lang w:val="en-US"/>
        </w:rPr>
        <w:t> </w:t>
      </w:r>
      <w:r w:rsidRPr="00F221C4">
        <w:rPr>
          <w:lang w:val="en-US"/>
        </w:rPr>
        <w:t>~</w:t>
      </w:r>
      <w:r>
        <w:rPr>
          <w:lang w:val="en-US"/>
        </w:rPr>
        <w:t> </w:t>
      </w:r>
      <w:r w:rsidRPr="00F221C4">
        <w:rPr>
          <w:lang w:val="en-US"/>
        </w:rPr>
        <w:t>2...</w:t>
      </w:r>
      <w:r w:rsidRPr="00F31A51">
        <w:rPr>
          <w:lang w:val="en-US"/>
        </w:rPr>
        <w:t>3.</w:t>
      </w:r>
    </w:p>
    <w:p w:rsidR="007C0CDD" w:rsidRPr="00F31A51" w:rsidRDefault="007C0CDD" w:rsidP="007C0CDD">
      <w:pPr>
        <w:pStyle w:val="Zv-bodyreport"/>
        <w:rPr>
          <w:lang w:val="en-US"/>
        </w:rPr>
      </w:pPr>
      <w:r w:rsidRPr="00F31A51">
        <w:rPr>
          <w:lang w:val="en-US"/>
        </w:rPr>
        <w:t xml:space="preserve">The power of the electron source integrated over the cord </w:t>
      </w:r>
      <w:r>
        <w:rPr>
          <w:lang w:val="en-US"/>
        </w:rPr>
        <w:t>is</w:t>
      </w:r>
      <w:r w:rsidRPr="00F31A51">
        <w:rPr>
          <w:lang w:val="en-US"/>
        </w:rPr>
        <w:t xml:space="preserve"> ~2</w:t>
      </w:r>
      <w:r>
        <w:rPr>
          <w:lang w:val="en-US"/>
        </w:rPr>
        <w:t> </w:t>
      </w:r>
      <w:r>
        <w:rPr>
          <w:rFonts w:ascii="Cambria Math" w:hAnsi="Cambria Math" w:cs="Cambria Math"/>
          <w:lang w:val="en-US"/>
        </w:rPr>
        <w:t>⋅</w:t>
      </w:r>
      <w:r>
        <w:rPr>
          <w:lang w:val="en-US"/>
        </w:rPr>
        <w:t> </w:t>
      </w:r>
      <w:r w:rsidRPr="00F31A51">
        <w:rPr>
          <w:lang w:val="en-US"/>
        </w:rPr>
        <w:t>10</w:t>
      </w:r>
      <w:r w:rsidRPr="00F221C4">
        <w:rPr>
          <w:vertAlign w:val="superscript"/>
          <w:lang w:val="en-US"/>
        </w:rPr>
        <w:t>21</w:t>
      </w:r>
      <w:r w:rsidRPr="00F31A51">
        <w:rPr>
          <w:lang w:val="en-US"/>
        </w:rPr>
        <w:t xml:space="preserve"> electrons/s. The </w:t>
      </w:r>
      <w:r>
        <w:rPr>
          <w:lang w:val="en-US"/>
        </w:rPr>
        <w:t>density</w:t>
      </w:r>
      <w:r w:rsidRPr="00F31A51">
        <w:rPr>
          <w:lang w:val="en-US"/>
        </w:rPr>
        <w:t xml:space="preserve"> of neutral atoms at the cord boundary </w:t>
      </w:r>
      <w:r>
        <w:rPr>
          <w:lang w:val="en-US"/>
        </w:rPr>
        <w:t>is</w:t>
      </w:r>
      <w:r w:rsidRPr="00F31A51">
        <w:rPr>
          <w:lang w:val="en-US"/>
        </w:rPr>
        <w:t xml:space="preserve"> </w:t>
      </w:r>
      <w:r w:rsidRPr="00F221C4">
        <w:rPr>
          <w:i/>
          <w:iCs/>
          <w:lang w:val="en-US"/>
        </w:rPr>
        <w:t>n</w:t>
      </w:r>
      <w:r w:rsidRPr="00F221C4">
        <w:rPr>
          <w:vertAlign w:val="subscript"/>
          <w:lang w:val="en-US"/>
        </w:rPr>
        <w:t>D</w:t>
      </w:r>
      <w:r w:rsidRPr="00F31A51">
        <w:rPr>
          <w:lang w:val="en-US"/>
        </w:rPr>
        <w:t xml:space="preserve"> ~0.7</w:t>
      </w:r>
      <w:r>
        <w:rPr>
          <w:rFonts w:ascii="Cambria Math" w:hAnsi="Cambria Math" w:cs="Cambria Math"/>
          <w:lang w:val="en-US"/>
        </w:rPr>
        <w:t> ⋅ </w:t>
      </w:r>
      <w:r w:rsidRPr="00F31A51">
        <w:rPr>
          <w:lang w:val="en-US"/>
        </w:rPr>
        <w:t>10</w:t>
      </w:r>
      <w:r w:rsidRPr="00F221C4">
        <w:rPr>
          <w:vertAlign w:val="superscript"/>
          <w:lang w:val="en-US"/>
        </w:rPr>
        <w:t>10</w:t>
      </w:r>
      <w:r w:rsidRPr="00F31A51">
        <w:rPr>
          <w:lang w:val="en-US"/>
        </w:rPr>
        <w:t xml:space="preserve"> cm</w:t>
      </w:r>
      <w:r w:rsidRPr="00F221C4">
        <w:rPr>
          <w:vertAlign w:val="superscript"/>
          <w:lang w:val="en-US"/>
        </w:rPr>
        <w:t>-3</w:t>
      </w:r>
      <w:r w:rsidRPr="00F31A51">
        <w:rPr>
          <w:lang w:val="en-US"/>
        </w:rPr>
        <w:t>.</w:t>
      </w:r>
    </w:p>
    <w:p w:rsidR="007C0CDD" w:rsidRPr="00F31A51" w:rsidRDefault="007C0CDD" w:rsidP="007C0CDD">
      <w:pPr>
        <w:pStyle w:val="Zv-TitleReferences-ru"/>
        <w:rPr>
          <w:lang w:val="en-US"/>
        </w:rPr>
      </w:pPr>
      <w:r>
        <w:rPr>
          <w:lang w:val="en-US"/>
        </w:rPr>
        <w:t>References</w:t>
      </w:r>
    </w:p>
    <w:p w:rsidR="007C0CDD" w:rsidRPr="00987001" w:rsidRDefault="007C0CDD" w:rsidP="007C0CDD">
      <w:pPr>
        <w:pStyle w:val="Zv-References-ru"/>
        <w:numPr>
          <w:ilvl w:val="0"/>
          <w:numId w:val="8"/>
        </w:numPr>
        <w:rPr>
          <w:lang w:val="en-US"/>
        </w:rPr>
      </w:pPr>
      <w:r w:rsidRPr="005C2ED3">
        <w:rPr>
          <w:lang w:val="en-US"/>
        </w:rPr>
        <w:t>V.A. Krupin et.al. Plasma Phys. Control. Fusion 60 (2018) 115003 (20pp)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3C" w:rsidRDefault="00046B3C">
      <w:r>
        <w:separator/>
      </w:r>
    </w:p>
  </w:endnote>
  <w:endnote w:type="continuationSeparator" w:id="0">
    <w:p w:rsidR="00046B3C" w:rsidRDefault="0004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07A6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07A6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02E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3C" w:rsidRDefault="00046B3C">
      <w:r>
        <w:separator/>
      </w:r>
    </w:p>
  </w:footnote>
  <w:footnote w:type="continuationSeparator" w:id="0">
    <w:p w:rsidR="00046B3C" w:rsidRDefault="00046B3C">
      <w:r>
        <w:continuationSeparator/>
      </w:r>
    </w:p>
  </w:footnote>
  <w:footnote w:id="1">
    <w:p w:rsidR="006D02EF" w:rsidRPr="006D02EF" w:rsidRDefault="006D02EF">
      <w:pPr>
        <w:pStyle w:val="ab"/>
        <w:rPr>
          <w:sz w:val="22"/>
          <w:szCs w:val="22"/>
          <w:lang w:val="en-US"/>
        </w:rPr>
      </w:pPr>
      <w:r w:rsidRPr="006D02EF">
        <w:rPr>
          <w:rStyle w:val="ad"/>
          <w:sz w:val="22"/>
          <w:szCs w:val="22"/>
          <w:lang w:val="en-US"/>
        </w:rPr>
        <w:t>*)</w:t>
      </w:r>
      <w:r w:rsidRPr="006D02EF">
        <w:rPr>
          <w:sz w:val="22"/>
          <w:szCs w:val="22"/>
          <w:lang w:val="en-US"/>
        </w:rPr>
        <w:t xml:space="preserve">  </w:t>
      </w:r>
      <w:hyperlink r:id="rId1" w:history="1">
        <w:r w:rsidRPr="006D02EF">
          <w:rPr>
            <w:rStyle w:val="a7"/>
            <w:sz w:val="22"/>
            <w:szCs w:val="22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8306AF">
      <w:rPr>
        <w:sz w:val="20"/>
        <w:lang w:val="en-US"/>
      </w:rPr>
      <w:t>7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8306AF">
      <w:rPr>
        <w:sz w:val="20"/>
        <w:lang w:val="en-US"/>
      </w:rPr>
      <w:t>6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</w:t>
    </w:r>
    <w:r w:rsidR="008306AF">
      <w:rPr>
        <w:sz w:val="20"/>
        <w:lang w:val="en-US"/>
      </w:rPr>
      <w:t>0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20</w:t>
    </w:r>
    <w:r w:rsidR="00EF07A9">
      <w:rPr>
        <w:sz w:val="20"/>
        <w:lang w:val="en-US"/>
      </w:rPr>
      <w:t>, Zvenigorod</w:t>
    </w:r>
  </w:p>
  <w:p w:rsidR="00654A7B" w:rsidRDefault="00407A6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6B3C"/>
    <w:rsid w:val="00043701"/>
    <w:rsid w:val="00046B3C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07A67"/>
    <w:rsid w:val="0043297E"/>
    <w:rsid w:val="00446025"/>
    <w:rsid w:val="004A77D1"/>
    <w:rsid w:val="004B72AA"/>
    <w:rsid w:val="004F4E29"/>
    <w:rsid w:val="005074E3"/>
    <w:rsid w:val="00567C6F"/>
    <w:rsid w:val="00573BAD"/>
    <w:rsid w:val="0058676C"/>
    <w:rsid w:val="005F764D"/>
    <w:rsid w:val="00654A7B"/>
    <w:rsid w:val="006B5B24"/>
    <w:rsid w:val="006D02EF"/>
    <w:rsid w:val="00732A2E"/>
    <w:rsid w:val="00755CC9"/>
    <w:rsid w:val="007B09C9"/>
    <w:rsid w:val="007B6378"/>
    <w:rsid w:val="007C0CDD"/>
    <w:rsid w:val="007E06CE"/>
    <w:rsid w:val="00802D35"/>
    <w:rsid w:val="008306AF"/>
    <w:rsid w:val="008520F9"/>
    <w:rsid w:val="008850EF"/>
    <w:rsid w:val="00906FF7"/>
    <w:rsid w:val="00AE6185"/>
    <w:rsid w:val="00B622ED"/>
    <w:rsid w:val="00B9584E"/>
    <w:rsid w:val="00C103CD"/>
    <w:rsid w:val="00C232A0"/>
    <w:rsid w:val="00C5751F"/>
    <w:rsid w:val="00D47F19"/>
    <w:rsid w:val="00D900FB"/>
    <w:rsid w:val="00D92E54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DD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7C0CDD"/>
    <w:rPr>
      <w:color w:val="0000FF" w:themeColor="hyperlink"/>
      <w:u w:val="single"/>
    </w:rPr>
  </w:style>
  <w:style w:type="table" w:styleId="a8">
    <w:name w:val="Table Grid"/>
    <w:basedOn w:val="a1"/>
    <w:rsid w:val="007C0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C0C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0CD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6D02EF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6D02EF"/>
  </w:style>
  <w:style w:type="character" w:styleId="ad">
    <w:name w:val="footnote reference"/>
    <w:basedOn w:val="a0"/>
    <w:rsid w:val="006D02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tsov_ia@nrck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ru/BJ-Zemtsov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A0EFD-A554-46D3-83BD-DA6B80FF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Zven_2020_e</Template>
  <TotalTime>5</TotalTime>
  <Pages>1</Pages>
  <Words>462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Сатунин</dc:creator>
  <cp:lastModifiedBy>Сатунин</cp:lastModifiedBy>
  <cp:revision>2</cp:revision>
  <cp:lastPrinted>1601-01-01T00:00:00Z</cp:lastPrinted>
  <dcterms:created xsi:type="dcterms:W3CDTF">2020-02-14T20:49:00Z</dcterms:created>
  <dcterms:modified xsi:type="dcterms:W3CDTF">2020-04-20T15:48:00Z</dcterms:modified>
</cp:coreProperties>
</file>