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B2" w:rsidRPr="00881A01" w:rsidRDefault="00C3021C" w:rsidP="00FD12B2">
      <w:pPr>
        <w:pStyle w:val="Zv-Titlereport"/>
        <w:rPr>
          <w:lang w:val="en-US"/>
        </w:rPr>
      </w:pPr>
      <w:r w:rsidRPr="00C3021C">
        <w:rPr>
          <w:noProof/>
          <w:lang w:val="en-US"/>
        </w:rPr>
        <w:pict>
          <v:shapetype id="_x0000_t202" coordsize="21600,21600" o:spt="202" path="m,l,21600r21600,l21600,xe">
            <v:stroke joinstyle="miter"/>
            <v:path gradientshapeok="t" o:connecttype="rect"/>
          </v:shapetype>
          <v:shape id="_x0000_s1036" type="#_x0000_t202" style="position:absolute;left:0;text-align:left;margin-left:-2.85pt;margin-top:-24.4pt;width:192pt;height:26.25pt;z-index:-251656192;mso-position-horizontal:absolute" stroked="f" strokecolor="red">
            <v:textbox style="mso-next-textbox:#_x0000_s1036">
              <w:txbxContent>
                <w:p w:rsidR="00C3021C" w:rsidRPr="0095603D" w:rsidRDefault="00C3021C" w:rsidP="003B6459">
                  <w:pPr>
                    <w:spacing w:before="80"/>
                    <w:rPr>
                      <w:sz w:val="22"/>
                      <w:szCs w:val="22"/>
                    </w:rPr>
                  </w:pPr>
                  <w:r w:rsidRPr="0095603D">
                    <w:rPr>
                      <w:sz w:val="22"/>
                      <w:szCs w:val="22"/>
                    </w:rPr>
                    <w:t>DOI:</w:t>
                  </w:r>
                  <w:r>
                    <w:rPr>
                      <w:sz w:val="22"/>
                      <w:szCs w:val="22"/>
                    </w:rPr>
                    <w:t xml:space="preserve"> </w:t>
                  </w:r>
                  <w:r w:rsidRPr="00C3021C">
                    <w:rPr>
                      <w:sz w:val="22"/>
                      <w:szCs w:val="22"/>
                    </w:rPr>
                    <w:t>10.34854/ICPAF.2020.47.1.048</w:t>
                  </w:r>
                </w:p>
              </w:txbxContent>
            </v:textbox>
            <w10:anchorlock/>
          </v:shape>
        </w:pict>
      </w:r>
      <w:r w:rsidR="00FD12B2">
        <w:rPr>
          <w:lang w:val="en-US"/>
        </w:rPr>
        <w:t>influence of impurity content on ion heat conductivity</w:t>
      </w:r>
      <w:r w:rsidR="00FD12B2">
        <w:rPr>
          <w:lang w:val="en-US"/>
        </w:rPr>
        <w:br/>
        <w:t xml:space="preserve"> in the t-10 tokamak plasma</w:t>
      </w:r>
      <w:r>
        <w:rPr>
          <w:lang w:val="en-US"/>
        </w:rPr>
        <w:t xml:space="preserve"> </w:t>
      </w:r>
      <w:r>
        <w:rPr>
          <w:rStyle w:val="ad"/>
          <w:lang w:val="en-US"/>
        </w:rPr>
        <w:footnoteReference w:customMarkFollows="1" w:id="1"/>
        <w:t>*)</w:t>
      </w:r>
    </w:p>
    <w:p w:rsidR="00FD12B2" w:rsidRPr="009C5F58" w:rsidRDefault="00FD12B2" w:rsidP="00FD12B2">
      <w:pPr>
        <w:pStyle w:val="Zv-Author"/>
        <w:rPr>
          <w:lang w:val="en-US"/>
        </w:rPr>
      </w:pPr>
      <w:r w:rsidRPr="009C5F58">
        <w:rPr>
          <w:vertAlign w:val="superscript"/>
          <w:lang w:val="en-US"/>
        </w:rPr>
        <w:t>1</w:t>
      </w:r>
      <w:r w:rsidRPr="009C5F58">
        <w:rPr>
          <w:lang w:val="en-US"/>
        </w:rPr>
        <w:t>Nurgaliev M.R.,</w:t>
      </w:r>
      <w:r>
        <w:rPr>
          <w:lang w:val="en-US"/>
        </w:rPr>
        <w:t xml:space="preserve"> </w:t>
      </w:r>
      <w:r w:rsidRPr="009C5F58">
        <w:rPr>
          <w:vertAlign w:val="superscript"/>
          <w:lang w:val="en-US"/>
        </w:rPr>
        <w:t>1</w:t>
      </w:r>
      <w:r w:rsidRPr="009C5F58">
        <w:rPr>
          <w:lang w:val="en-US"/>
        </w:rPr>
        <w:t xml:space="preserve">Krupin V.A., </w:t>
      </w:r>
      <w:r w:rsidRPr="009C5F58">
        <w:rPr>
          <w:vertAlign w:val="superscript"/>
          <w:lang w:val="en-US"/>
        </w:rPr>
        <w:t>1</w:t>
      </w:r>
      <w:r w:rsidRPr="009C5F58">
        <w:rPr>
          <w:lang w:val="en-US"/>
        </w:rPr>
        <w:t xml:space="preserve">Klyuchnikov L.A., </w:t>
      </w:r>
      <w:r w:rsidRPr="009C5F58">
        <w:rPr>
          <w:vertAlign w:val="superscript"/>
          <w:lang w:val="en-US"/>
        </w:rPr>
        <w:t>1</w:t>
      </w:r>
      <w:r w:rsidRPr="006807EF">
        <w:rPr>
          <w:lang w:val="en-US"/>
        </w:rPr>
        <w:t>Nemets A.R.</w:t>
      </w:r>
      <w:r w:rsidRPr="009C5F58">
        <w:rPr>
          <w:lang w:val="en-US"/>
        </w:rPr>
        <w:t xml:space="preserve">, </w:t>
      </w:r>
      <w:r w:rsidRPr="009C5F58">
        <w:rPr>
          <w:vertAlign w:val="superscript"/>
          <w:lang w:val="en-US"/>
        </w:rPr>
        <w:t>1,2</w:t>
      </w:r>
      <w:r w:rsidRPr="006807EF">
        <w:rPr>
          <w:lang w:val="en-US"/>
        </w:rPr>
        <w:t>Zemtsov I.A.</w:t>
      </w:r>
      <w:r w:rsidRPr="009C5F58">
        <w:rPr>
          <w:lang w:val="en-US"/>
        </w:rPr>
        <w:t xml:space="preserve">, </w:t>
      </w:r>
      <w:r w:rsidRPr="009C5F58">
        <w:rPr>
          <w:vertAlign w:val="superscript"/>
          <w:lang w:val="en-US"/>
        </w:rPr>
        <w:t>1</w:t>
      </w:r>
      <w:r w:rsidRPr="006807EF">
        <w:rPr>
          <w:lang w:val="en-US"/>
        </w:rPr>
        <w:t>Dnestrovskiy A.Yu.</w:t>
      </w:r>
      <w:r w:rsidRPr="009C5F58">
        <w:rPr>
          <w:lang w:val="en-US"/>
        </w:rPr>
        <w:t xml:space="preserve">, </w:t>
      </w:r>
      <w:r w:rsidRPr="009C5F58">
        <w:rPr>
          <w:vertAlign w:val="superscript"/>
          <w:lang w:val="en-US"/>
        </w:rPr>
        <w:t>1</w:t>
      </w:r>
      <w:r w:rsidRPr="006807EF">
        <w:rPr>
          <w:lang w:val="en-US"/>
        </w:rPr>
        <w:t>Sarychev D.V.</w:t>
      </w:r>
      <w:r w:rsidRPr="009C5F58">
        <w:rPr>
          <w:lang w:val="en-US"/>
        </w:rPr>
        <w:t xml:space="preserve">, </w:t>
      </w:r>
      <w:r w:rsidRPr="009C5F58">
        <w:rPr>
          <w:vertAlign w:val="superscript"/>
          <w:lang w:val="en-US"/>
        </w:rPr>
        <w:t>1</w:t>
      </w:r>
      <w:r w:rsidRPr="006807EF">
        <w:rPr>
          <w:lang w:val="en-US"/>
        </w:rPr>
        <w:t>Solovev N.A.</w:t>
      </w:r>
      <w:r w:rsidRPr="009C5F58">
        <w:rPr>
          <w:lang w:val="en-US"/>
        </w:rPr>
        <w:t xml:space="preserve">, </w:t>
      </w:r>
      <w:r w:rsidRPr="009C5F58">
        <w:rPr>
          <w:vertAlign w:val="superscript"/>
          <w:lang w:val="en-US"/>
        </w:rPr>
        <w:t>1</w:t>
      </w:r>
      <w:r w:rsidRPr="006807EF">
        <w:rPr>
          <w:lang w:val="en-US"/>
        </w:rPr>
        <w:t>Trukhin V.M.</w:t>
      </w:r>
      <w:r w:rsidRPr="009C5F58">
        <w:rPr>
          <w:lang w:val="en-US"/>
        </w:rPr>
        <w:t xml:space="preserve">, </w:t>
      </w:r>
      <w:r w:rsidRPr="009C5F58">
        <w:rPr>
          <w:vertAlign w:val="superscript"/>
          <w:lang w:val="en-US"/>
        </w:rPr>
        <w:t>1</w:t>
      </w:r>
      <w:r w:rsidRPr="006807EF">
        <w:rPr>
          <w:lang w:val="en-US"/>
        </w:rPr>
        <w:t>Sergeev D.S.</w:t>
      </w:r>
      <w:r w:rsidRPr="009C5F58">
        <w:rPr>
          <w:lang w:val="en-US"/>
        </w:rPr>
        <w:t xml:space="preserve">, </w:t>
      </w:r>
      <w:r w:rsidRPr="009C5F58">
        <w:rPr>
          <w:vertAlign w:val="superscript"/>
          <w:lang w:val="en-US"/>
        </w:rPr>
        <w:t>1</w:t>
      </w:r>
      <w:r w:rsidRPr="006807EF">
        <w:rPr>
          <w:lang w:val="en-US"/>
        </w:rPr>
        <w:t>Myalton T.B.</w:t>
      </w:r>
      <w:r w:rsidRPr="009C5F58">
        <w:rPr>
          <w:lang w:val="en-US"/>
        </w:rPr>
        <w:t xml:space="preserve">, </w:t>
      </w:r>
      <w:r w:rsidRPr="009C5F58">
        <w:rPr>
          <w:vertAlign w:val="superscript"/>
          <w:lang w:val="en-US"/>
        </w:rPr>
        <w:t>1</w:t>
      </w:r>
      <w:r w:rsidRPr="006807EF">
        <w:rPr>
          <w:lang w:val="en-US"/>
        </w:rPr>
        <w:t>Tugarinov S.N.</w:t>
      </w:r>
      <w:r w:rsidRPr="009C5F58">
        <w:rPr>
          <w:lang w:val="en-US"/>
        </w:rPr>
        <w:t xml:space="preserve">, </w:t>
      </w:r>
      <w:r w:rsidRPr="009C5F58">
        <w:rPr>
          <w:vertAlign w:val="superscript"/>
          <w:lang w:val="en-US"/>
        </w:rPr>
        <w:t>3</w:t>
      </w:r>
      <w:r w:rsidRPr="006807EF">
        <w:rPr>
          <w:lang w:val="en-US"/>
        </w:rPr>
        <w:t>Naumenko N.N.</w:t>
      </w:r>
    </w:p>
    <w:p w:rsidR="00FD12B2" w:rsidRPr="006807EF" w:rsidRDefault="00FD12B2" w:rsidP="00FD12B2">
      <w:pPr>
        <w:pStyle w:val="Zv-Organization"/>
        <w:rPr>
          <w:lang w:val="en-US"/>
        </w:rPr>
      </w:pPr>
      <w:r w:rsidRPr="006807EF">
        <w:rPr>
          <w:vertAlign w:val="superscript"/>
          <w:lang w:val="en-US"/>
        </w:rPr>
        <w:t>1</w:t>
      </w:r>
      <w:r w:rsidRPr="006807EF">
        <w:rPr>
          <w:lang w:val="en-US"/>
        </w:rPr>
        <w:t xml:space="preserve">NRC «Kurchatov Institute», </w:t>
      </w:r>
      <w:r>
        <w:rPr>
          <w:lang w:val="en-US"/>
        </w:rPr>
        <w:t>Moscow</w:t>
      </w:r>
      <w:r w:rsidRPr="006807EF">
        <w:rPr>
          <w:lang w:val="en-US"/>
        </w:rPr>
        <w:t xml:space="preserve">, </w:t>
      </w:r>
      <w:r>
        <w:rPr>
          <w:lang w:val="en-US"/>
        </w:rPr>
        <w:t>Russia</w:t>
      </w:r>
      <w:r w:rsidRPr="006807EF">
        <w:rPr>
          <w:lang w:val="en-US"/>
        </w:rPr>
        <w:t xml:space="preserve">, </w:t>
      </w:r>
      <w:hyperlink r:id="rId8" w:history="1">
        <w:r w:rsidRPr="004E4D77">
          <w:rPr>
            <w:rStyle w:val="a7"/>
            <w:lang w:val="en-US"/>
          </w:rPr>
          <w:t>nurgaliev_mr@nrcki.ru</w:t>
        </w:r>
      </w:hyperlink>
      <w:r>
        <w:rPr>
          <w:lang w:val="en-US"/>
        </w:rPr>
        <w:br/>
      </w:r>
      <w:r w:rsidRPr="006807EF">
        <w:rPr>
          <w:vertAlign w:val="superscript"/>
          <w:lang w:val="en-US"/>
        </w:rPr>
        <w:t>2</w:t>
      </w:r>
      <w:r w:rsidRPr="006807EF">
        <w:rPr>
          <w:lang w:val="en-US"/>
        </w:rPr>
        <w:t xml:space="preserve">Bauman Moscow State Technical University, </w:t>
      </w:r>
      <w:r>
        <w:rPr>
          <w:lang w:val="en-US"/>
        </w:rPr>
        <w:t>Moscow</w:t>
      </w:r>
      <w:r w:rsidRPr="006807EF">
        <w:rPr>
          <w:lang w:val="en-US"/>
        </w:rPr>
        <w:t xml:space="preserve">, </w:t>
      </w:r>
      <w:r>
        <w:rPr>
          <w:lang w:val="en-US"/>
        </w:rPr>
        <w:t>Russia</w:t>
      </w:r>
      <w:r w:rsidRPr="006807EF">
        <w:rPr>
          <w:lang w:val="en-US"/>
        </w:rPr>
        <w:br/>
      </w:r>
      <w:r w:rsidRPr="006807EF">
        <w:rPr>
          <w:vertAlign w:val="superscript"/>
          <w:lang w:val="en-US"/>
        </w:rPr>
        <w:t>3</w:t>
      </w:r>
      <w:r w:rsidRPr="006807EF">
        <w:rPr>
          <w:lang w:val="en-US"/>
        </w:rPr>
        <w:t xml:space="preserve">B.I. Stepanov Institute of Physics, </w:t>
      </w:r>
      <w:r>
        <w:rPr>
          <w:lang w:val="en-US"/>
        </w:rPr>
        <w:t>Minsk</w:t>
      </w:r>
      <w:r w:rsidRPr="006807EF">
        <w:rPr>
          <w:lang w:val="en-US"/>
        </w:rPr>
        <w:t xml:space="preserve">, </w:t>
      </w:r>
      <w:r>
        <w:rPr>
          <w:lang w:val="en-US"/>
        </w:rPr>
        <w:t>Belarus</w:t>
      </w:r>
    </w:p>
    <w:p w:rsidR="00FD12B2" w:rsidRPr="006807EF" w:rsidRDefault="00FD12B2" w:rsidP="00FD12B2">
      <w:pPr>
        <w:pStyle w:val="Zv-bodyreport"/>
        <w:rPr>
          <w:lang w:val="en-US"/>
        </w:rPr>
      </w:pPr>
      <w:r>
        <w:rPr>
          <w:lang w:val="en-US"/>
        </w:rPr>
        <w:t>During the campaigns of 2014-2018 experiments with various impurity content are carried out on T-10. The following regimes are obtained: with intrinsic light (“CO”) and heavy (“COW”) impurities, injected impurities (“He” and “Ne”), and fully lithium plasma (“Li”). In the current work, each of regimes is analyzed in ion power balance terms:</w:t>
      </w:r>
    </w:p>
    <w:p w:rsidR="00FD12B2" w:rsidRPr="006807EF" w:rsidRDefault="00FD12B2" w:rsidP="00FD12B2">
      <w:pPr>
        <w:pStyle w:val="Zv-bodyreport"/>
        <w:jc w:val="right"/>
        <w:rPr>
          <w:lang w:val="en-US"/>
        </w:rPr>
      </w:pPr>
      <w:r w:rsidRPr="00640586">
        <w:rPr>
          <w:position w:val="-26"/>
        </w:rPr>
        <w:object w:dxaOrig="32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9" o:title=""/>
          </v:shape>
          <o:OLEObject Type="Embed" ProgID="Equation.DSMT4" ShapeID="_x0000_i1025" DrawAspect="Content" ObjectID="_1648910955" r:id="rId10"/>
        </w:object>
      </w:r>
      <w:r w:rsidRPr="006807EF">
        <w:rPr>
          <w:lang w:val="en-US"/>
        </w:rPr>
        <w:t xml:space="preserve">                                                (1)</w:t>
      </w:r>
    </w:p>
    <w:p w:rsidR="00FD12B2" w:rsidRDefault="00FD12B2" w:rsidP="00FD12B2">
      <w:pPr>
        <w:pStyle w:val="Zv-bodyreportcont"/>
        <w:rPr>
          <w:lang w:val="en-US"/>
        </w:rPr>
      </w:pPr>
      <w:r>
        <w:rPr>
          <w:lang w:val="en-US"/>
        </w:rPr>
        <w:t xml:space="preserve">where first term </w:t>
      </w:r>
      <w:r w:rsidRPr="00E456FF">
        <w:rPr>
          <w:position w:val="-10"/>
        </w:rPr>
        <w:object w:dxaOrig="1380" w:dyaOrig="360">
          <v:shape id="_x0000_i1026" type="#_x0000_t75" style="width:69pt;height:18pt" o:ole="">
            <v:imagedata r:id="rId11" o:title=""/>
          </v:shape>
          <o:OLEObject Type="Embed" ProgID="Equation.DSMT4" ShapeID="_x0000_i1026" DrawAspect="Content" ObjectID="_1648910956" r:id="rId12"/>
        </w:object>
      </w:r>
      <w:r>
        <w:rPr>
          <w:lang w:val="en-US"/>
        </w:rPr>
        <w:t xml:space="preserve"> </w:t>
      </w:r>
      <w:r w:rsidRPr="006807EF">
        <w:rPr>
          <w:lang w:val="en-US"/>
        </w:rPr>
        <w:t xml:space="preserve">is ion heat flux, </w:t>
      </w:r>
      <w:r w:rsidRPr="00E456FF">
        <w:rPr>
          <w:position w:val="-10"/>
        </w:rPr>
        <w:object w:dxaOrig="220" w:dyaOrig="320">
          <v:shape id="_x0000_i1027" type="#_x0000_t75" style="width:11.25pt;height:16.5pt" o:ole="">
            <v:imagedata r:id="rId13" o:title=""/>
          </v:shape>
          <o:OLEObject Type="Embed" ProgID="Equation.DSMT4" ShapeID="_x0000_i1027" DrawAspect="Content" ObjectID="_1648910957" r:id="rId14"/>
        </w:object>
      </w:r>
      <w:r w:rsidRPr="006807EF">
        <w:rPr>
          <w:lang w:val="en-US"/>
        </w:rPr>
        <w:t xml:space="preserve"> </w:t>
      </w:r>
      <w:r>
        <w:rPr>
          <w:lang w:val="en-US"/>
        </w:rPr>
        <w:t xml:space="preserve">is total ion density (sum of deuterium and impurities), </w:t>
      </w:r>
      <w:r w:rsidRPr="00E456FF">
        <w:t>Г</w:t>
      </w:r>
      <w:r w:rsidRPr="006807EF">
        <w:rPr>
          <w:i/>
          <w:vertAlign w:val="subscript"/>
          <w:lang w:val="en-US"/>
        </w:rPr>
        <w:t>i</w:t>
      </w:r>
      <w:r w:rsidRPr="006807EF">
        <w:rPr>
          <w:lang w:val="en-US"/>
        </w:rPr>
        <w:t xml:space="preserve"> </w:t>
      </w:r>
      <w:r>
        <w:rPr>
          <w:lang w:val="en-US"/>
        </w:rPr>
        <w:t xml:space="preserve">is total ion particle flux, </w:t>
      </w:r>
      <w:r w:rsidRPr="00E456FF">
        <w:rPr>
          <w:position w:val="-10"/>
        </w:rPr>
        <w:object w:dxaOrig="279" w:dyaOrig="320">
          <v:shape id="_x0000_i1028" type="#_x0000_t75" style="width:13.5pt;height:16.5pt" o:ole="">
            <v:imagedata r:id="rId15" o:title=""/>
          </v:shape>
          <o:OLEObject Type="Embed" ProgID="Equation.DSMT4" ShapeID="_x0000_i1028" DrawAspect="Content" ObjectID="_1648910958" r:id="rId16"/>
        </w:object>
      </w:r>
      <w:r>
        <w:rPr>
          <w:lang w:val="en-US"/>
        </w:rPr>
        <w:t xml:space="preserve"> is electron to ion heat transfer due to Coulomb collisions, </w:t>
      </w:r>
      <w:r w:rsidRPr="00E456FF">
        <w:rPr>
          <w:i/>
          <w:lang w:val="en-US"/>
        </w:rPr>
        <w:t>P</w:t>
      </w:r>
      <w:r w:rsidRPr="00E456FF">
        <w:rPr>
          <w:i/>
          <w:vertAlign w:val="subscript"/>
          <w:lang w:val="en-US"/>
        </w:rPr>
        <w:t>CX</w:t>
      </w:r>
      <w:r w:rsidRPr="006807EF">
        <w:rPr>
          <w:lang w:val="en-US"/>
        </w:rPr>
        <w:t xml:space="preserve"> </w:t>
      </w:r>
      <w:r>
        <w:rPr>
          <w:lang w:val="en-US"/>
        </w:rPr>
        <w:t xml:space="preserve">is charge exchange losses. </w:t>
      </w:r>
    </w:p>
    <w:tbl>
      <w:tblPr>
        <w:tblStyle w:val="a8"/>
        <w:tblpPr w:leftFromText="181" w:rightFromText="181"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7"/>
      </w:tblGrid>
      <w:tr w:rsidR="00FD12B2" w:rsidTr="0039625C">
        <w:tc>
          <w:tcPr>
            <w:tcW w:w="5092" w:type="dxa"/>
          </w:tcPr>
          <w:p w:rsidR="00FD12B2" w:rsidRDefault="00FD12B2" w:rsidP="0039625C">
            <w:pPr>
              <w:pStyle w:val="Zv-bodyreport"/>
              <w:ind w:firstLine="0"/>
              <w:jc w:val="center"/>
            </w:pPr>
            <w:r w:rsidRPr="00826BD0">
              <w:rPr>
                <w:noProof/>
              </w:rPr>
              <w:drawing>
                <wp:inline distT="0" distB="0" distL="0" distR="0">
                  <wp:extent cx="3235190" cy="2440360"/>
                  <wp:effectExtent l="0" t="0" r="3810" b="0"/>
                  <wp:docPr id="4" name="Picture 4" descr="C:\Users\PoruchikPC\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oruchikPC\Desktop\111.pn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30"/>
                          <a:stretch/>
                        </pic:blipFill>
                        <pic:spPr bwMode="auto">
                          <a:xfrm>
                            <a:off x="0" y="0"/>
                            <a:ext cx="3235895" cy="244089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FD12B2" w:rsidRPr="00C3021C" w:rsidTr="0039625C">
        <w:tc>
          <w:tcPr>
            <w:tcW w:w="5092" w:type="dxa"/>
          </w:tcPr>
          <w:p w:rsidR="00FD12B2" w:rsidRPr="00826BD0" w:rsidRDefault="00FD12B2" w:rsidP="0039625C">
            <w:pPr>
              <w:pStyle w:val="Zv-bodyreport"/>
              <w:ind w:firstLine="0"/>
              <w:jc w:val="center"/>
              <w:rPr>
                <w:lang w:val="en-US"/>
              </w:rPr>
            </w:pPr>
            <w:r>
              <w:rPr>
                <w:lang w:val="en-US"/>
              </w:rPr>
              <w:t>Figure</w:t>
            </w:r>
            <w:r w:rsidRPr="00393F72">
              <w:rPr>
                <w:lang w:val="en-US"/>
              </w:rPr>
              <w:t xml:space="preserve">. </w:t>
            </w:r>
            <w:r>
              <w:rPr>
                <w:lang w:val="en-US"/>
              </w:rPr>
              <w:t xml:space="preserve">Dependence of ion heat conductivity at </w:t>
            </w:r>
            <w:r w:rsidRPr="001B5A52">
              <w:rPr>
                <w:i/>
                <w:lang w:val="en-US"/>
              </w:rPr>
              <w:t>r</w:t>
            </w:r>
            <w:r w:rsidRPr="00393F72">
              <w:rPr>
                <w:lang w:val="en-US"/>
              </w:rPr>
              <w:t>/</w:t>
            </w:r>
            <w:r w:rsidRPr="001B5A52">
              <w:rPr>
                <w:i/>
                <w:lang w:val="en-US"/>
              </w:rPr>
              <w:t>a</w:t>
            </w:r>
            <w:r>
              <w:rPr>
                <w:lang w:val="en-US"/>
              </w:rPr>
              <w:t> </w:t>
            </w:r>
            <w:r w:rsidRPr="00393F72">
              <w:rPr>
                <w:lang w:val="en-US"/>
              </w:rPr>
              <w:t>=</w:t>
            </w:r>
            <w:r>
              <w:rPr>
                <w:lang w:val="en-US"/>
              </w:rPr>
              <w:t> </w:t>
            </w:r>
            <w:bookmarkStart w:id="0" w:name="_GoBack"/>
            <w:bookmarkEnd w:id="0"/>
            <w:r w:rsidRPr="00393F72">
              <w:rPr>
                <w:lang w:val="en-US"/>
              </w:rPr>
              <w:t xml:space="preserve">0.65 </w:t>
            </w:r>
            <w:r>
              <w:rPr>
                <w:lang w:val="en-US"/>
              </w:rPr>
              <w:t xml:space="preserve">versus the ratio </w:t>
            </w:r>
            <w:r w:rsidRPr="00393F72">
              <w:rPr>
                <w:i/>
                <w:lang w:val="en-US"/>
              </w:rPr>
              <w:t>T</w:t>
            </w:r>
            <w:r w:rsidRPr="00393F72">
              <w:rPr>
                <w:i/>
                <w:vertAlign w:val="subscript"/>
                <w:lang w:val="en-US"/>
              </w:rPr>
              <w:t>i</w:t>
            </w:r>
            <w:r>
              <w:rPr>
                <w:lang w:val="en-US"/>
              </w:rPr>
              <w:t>/</w:t>
            </w:r>
            <w:r w:rsidRPr="00393F72">
              <w:rPr>
                <w:i/>
                <w:lang w:val="en-US"/>
              </w:rPr>
              <w:t>T</w:t>
            </w:r>
            <w:r w:rsidRPr="00393F72">
              <w:rPr>
                <w:i/>
                <w:vertAlign w:val="subscript"/>
                <w:lang w:val="en-US"/>
              </w:rPr>
              <w:t>e</w:t>
            </w:r>
          </w:p>
        </w:tc>
      </w:tr>
    </w:tbl>
    <w:p w:rsidR="00FD12B2" w:rsidRDefault="00FD12B2" w:rsidP="00FD12B2">
      <w:pPr>
        <w:pStyle w:val="Zv-bodyreport"/>
        <w:rPr>
          <w:lang w:val="en-US"/>
        </w:rPr>
      </w:pPr>
      <w:r>
        <w:rPr>
          <w:lang w:val="en-US"/>
        </w:rPr>
        <w:t xml:space="preserve">For every discharge the values of ion heat conductivity, </w:t>
      </w:r>
      <w:r w:rsidRPr="00F52637">
        <w:rPr>
          <w:position w:val="-10"/>
          <w:lang w:val="en-US"/>
        </w:rPr>
        <w:object w:dxaOrig="360" w:dyaOrig="340">
          <v:shape id="_x0000_i1029" type="#_x0000_t75" style="width:18pt;height:17.25pt" o:ole="">
            <v:imagedata r:id="rId18" o:title=""/>
          </v:shape>
          <o:OLEObject Type="Embed" ProgID="Equation.DSMT4" ShapeID="_x0000_i1029" DrawAspect="Content" ObjectID="_1648910959" r:id="rId19"/>
        </w:object>
      </w:r>
      <w:r>
        <w:rPr>
          <w:lang w:val="en-US"/>
        </w:rPr>
        <w:t xml:space="preserve">, on </w:t>
      </w:r>
      <w:r w:rsidRPr="006807EF">
        <w:rPr>
          <w:i/>
          <w:lang w:val="en-US"/>
        </w:rPr>
        <w:t>r</w:t>
      </w:r>
      <w:r>
        <w:rPr>
          <w:lang w:val="en-US"/>
        </w:rPr>
        <w:t>/</w:t>
      </w:r>
      <w:r w:rsidRPr="006807EF">
        <w:rPr>
          <w:i/>
          <w:lang w:val="en-US"/>
        </w:rPr>
        <w:t>a</w:t>
      </w:r>
      <w:r>
        <w:rPr>
          <w:lang w:val="en-US"/>
        </w:rPr>
        <w:t xml:space="preserve">=0.65 is determined from (1). In discharges with ohmic heating, </w:t>
      </w:r>
      <w:r w:rsidRPr="00F52637">
        <w:rPr>
          <w:position w:val="-10"/>
          <w:lang w:val="en-US"/>
        </w:rPr>
        <w:object w:dxaOrig="360" w:dyaOrig="340">
          <v:shape id="_x0000_i1030" type="#_x0000_t75" style="width:18pt;height:17.25pt" o:ole="">
            <v:imagedata r:id="rId18" o:title=""/>
          </v:shape>
          <o:OLEObject Type="Embed" ProgID="Equation.DSMT4" ShapeID="_x0000_i1030" DrawAspect="Content" ObjectID="_1648910960" r:id="rId20"/>
        </w:object>
      </w:r>
      <w:r>
        <w:rPr>
          <w:lang w:val="en-US"/>
        </w:rPr>
        <w:t xml:space="preserve"> increases with the </w:t>
      </w:r>
      <w:r w:rsidRPr="006807EF">
        <w:rPr>
          <w:i/>
          <w:lang w:val="en-US"/>
        </w:rPr>
        <w:t>Z</w:t>
      </w:r>
      <w:r w:rsidRPr="006807EF">
        <w:rPr>
          <w:i/>
          <w:vertAlign w:val="subscript"/>
          <w:lang w:val="en-US"/>
        </w:rPr>
        <w:t>eff</w:t>
      </w:r>
      <w:r>
        <w:rPr>
          <w:lang w:val="en-US"/>
        </w:rPr>
        <w:t xml:space="preserve"> growth. For intrinsic impurities regimes it occurs together with decrease in </w:t>
      </w:r>
      <w:r w:rsidRPr="00393F72">
        <w:rPr>
          <w:i/>
          <w:lang w:val="en-US"/>
        </w:rPr>
        <w:t>n</w:t>
      </w:r>
      <w:r w:rsidRPr="00393F72">
        <w:rPr>
          <w:i/>
          <w:vertAlign w:val="subscript"/>
          <w:lang w:val="en-US"/>
        </w:rPr>
        <w:t>i</w:t>
      </w:r>
      <w:r>
        <w:rPr>
          <w:lang w:val="en-US"/>
        </w:rPr>
        <w:t xml:space="preserve"> due to the main gas dilution by impurities. For “He”, “Ne”, and “Li” regimes the increase of </w:t>
      </w:r>
      <w:r w:rsidRPr="00393F72">
        <w:rPr>
          <w:i/>
          <w:lang w:val="en-US"/>
        </w:rPr>
        <w:t>Z</w:t>
      </w:r>
      <w:r w:rsidRPr="00393F72">
        <w:rPr>
          <w:i/>
          <w:vertAlign w:val="subscript"/>
          <w:lang w:val="en-US"/>
        </w:rPr>
        <w:t>eff</w:t>
      </w:r>
      <w:r>
        <w:rPr>
          <w:lang w:val="en-US"/>
        </w:rPr>
        <w:t xml:space="preserve">, in opposite, result in rise of </w:t>
      </w:r>
      <w:r w:rsidRPr="00F52637">
        <w:rPr>
          <w:position w:val="-10"/>
          <w:lang w:val="en-US"/>
        </w:rPr>
        <w:object w:dxaOrig="240" w:dyaOrig="320">
          <v:shape id="_x0000_i1031" type="#_x0000_t75" style="width:12pt;height:16.5pt" o:ole="">
            <v:imagedata r:id="rId21" o:title=""/>
          </v:shape>
          <o:OLEObject Type="Embed" ProgID="Equation.DSMT4" ShapeID="_x0000_i1031" DrawAspect="Content" ObjectID="_1648910961" r:id="rId22"/>
        </w:object>
      </w:r>
      <w:r>
        <w:rPr>
          <w:lang w:val="en-US"/>
        </w:rPr>
        <w:t xml:space="preserve"> and </w:t>
      </w:r>
      <w:r w:rsidRPr="00393F72">
        <w:rPr>
          <w:i/>
          <w:lang w:val="en-US"/>
        </w:rPr>
        <w:t>n</w:t>
      </w:r>
      <w:r w:rsidRPr="00393F72">
        <w:rPr>
          <w:i/>
          <w:vertAlign w:val="subscript"/>
          <w:lang w:val="en-US"/>
        </w:rPr>
        <w:t>i</w:t>
      </w:r>
      <w:r>
        <w:rPr>
          <w:lang w:val="en-US"/>
        </w:rPr>
        <w:t xml:space="preserve">. Moreover, the electron power balance changes and, consequently, </w:t>
      </w:r>
      <w:r w:rsidRPr="00393F72">
        <w:rPr>
          <w:i/>
          <w:lang w:val="en-US"/>
        </w:rPr>
        <w:t>T</w:t>
      </w:r>
      <w:r w:rsidRPr="00393F72">
        <w:rPr>
          <w:i/>
          <w:vertAlign w:val="subscript"/>
          <w:lang w:val="en-US"/>
        </w:rPr>
        <w:t>e</w:t>
      </w:r>
      <w:r>
        <w:rPr>
          <w:lang w:val="en-US"/>
        </w:rPr>
        <w:t xml:space="preserve"> changes.</w:t>
      </w:r>
    </w:p>
    <w:p w:rsidR="00FD12B2" w:rsidRPr="00826BD0" w:rsidRDefault="00FD12B2" w:rsidP="00FD12B2">
      <w:pPr>
        <w:pStyle w:val="Zv-bodyreport"/>
        <w:rPr>
          <w:lang w:val="en-US"/>
        </w:rPr>
      </w:pPr>
      <w:r>
        <w:rPr>
          <w:lang w:val="en-US"/>
        </w:rPr>
        <w:t xml:space="preserve">Therefore, the change of impurity content result in complex variation of plasma parameters that can be generalized by considering a dependence of </w:t>
      </w:r>
      <w:r w:rsidRPr="00F52637">
        <w:rPr>
          <w:position w:val="-10"/>
          <w:lang w:val="en-US"/>
        </w:rPr>
        <w:object w:dxaOrig="360" w:dyaOrig="340">
          <v:shape id="_x0000_i1032" type="#_x0000_t75" style="width:18pt;height:17.25pt" o:ole="">
            <v:imagedata r:id="rId18" o:title=""/>
          </v:shape>
          <o:OLEObject Type="Embed" ProgID="Equation.DSMT4" ShapeID="_x0000_i1032" DrawAspect="Content" ObjectID="_1648910962" r:id="rId23"/>
        </w:object>
      </w:r>
      <w:r>
        <w:rPr>
          <w:lang w:val="en-US"/>
        </w:rPr>
        <w:t xml:space="preserve"> on </w:t>
      </w:r>
      <w:r w:rsidRPr="00456421">
        <w:rPr>
          <w:i/>
          <w:lang w:val="en-US"/>
        </w:rPr>
        <w:t>T</w:t>
      </w:r>
      <w:r w:rsidRPr="00456421">
        <w:rPr>
          <w:i/>
          <w:vertAlign w:val="subscript"/>
          <w:lang w:val="en-US"/>
        </w:rPr>
        <w:t>i</w:t>
      </w:r>
      <w:r w:rsidRPr="005F253B">
        <w:rPr>
          <w:lang w:val="en-US"/>
        </w:rPr>
        <w:t>/</w:t>
      </w:r>
      <w:r w:rsidRPr="00456421">
        <w:rPr>
          <w:i/>
          <w:lang w:val="en-US"/>
        </w:rPr>
        <w:t>T</w:t>
      </w:r>
      <w:r w:rsidRPr="00456421">
        <w:rPr>
          <w:i/>
          <w:vertAlign w:val="subscript"/>
          <w:lang w:val="en-US"/>
        </w:rPr>
        <w:t>e</w:t>
      </w:r>
      <w:r>
        <w:rPr>
          <w:lang w:val="en-US"/>
        </w:rPr>
        <w:t xml:space="preserve">. Figure shows that the increase of </w:t>
      </w:r>
      <w:r w:rsidRPr="00456421">
        <w:rPr>
          <w:i/>
          <w:lang w:val="en-US"/>
        </w:rPr>
        <w:t>T</w:t>
      </w:r>
      <w:r w:rsidRPr="00456421">
        <w:rPr>
          <w:i/>
          <w:vertAlign w:val="subscript"/>
          <w:lang w:val="en-US"/>
        </w:rPr>
        <w:t>i</w:t>
      </w:r>
      <w:r w:rsidRPr="005F253B">
        <w:rPr>
          <w:lang w:val="en-US"/>
        </w:rPr>
        <w:t>/</w:t>
      </w:r>
      <w:r w:rsidRPr="00456421">
        <w:rPr>
          <w:i/>
          <w:lang w:val="en-US"/>
        </w:rPr>
        <w:t>T</w:t>
      </w:r>
      <w:r w:rsidRPr="00456421">
        <w:rPr>
          <w:i/>
          <w:vertAlign w:val="subscript"/>
          <w:lang w:val="en-US"/>
        </w:rPr>
        <w:t>e</w:t>
      </w:r>
      <w:r>
        <w:rPr>
          <w:lang w:val="en-US"/>
        </w:rPr>
        <w:t xml:space="preserve"> leads to the decrease in </w:t>
      </w:r>
      <w:r w:rsidRPr="00F52637">
        <w:rPr>
          <w:position w:val="-10"/>
          <w:lang w:val="en-US"/>
        </w:rPr>
        <w:object w:dxaOrig="360" w:dyaOrig="340">
          <v:shape id="_x0000_i1033" type="#_x0000_t75" style="width:18pt;height:17.25pt" o:ole="">
            <v:imagedata r:id="rId18" o:title=""/>
          </v:shape>
          <o:OLEObject Type="Embed" ProgID="Equation.DSMT4" ShapeID="_x0000_i1033" DrawAspect="Content" ObjectID="_1648910963" r:id="rId24"/>
        </w:object>
      </w:r>
      <w:r>
        <w:rPr>
          <w:lang w:val="en-US"/>
        </w:rPr>
        <w:t xml:space="preserve">. The excess over neoclassical values drops from the factor of </w:t>
      </w:r>
      <w:r w:rsidRPr="005F253B">
        <w:rPr>
          <w:lang w:val="en-US"/>
        </w:rPr>
        <w:t>~2.5</w:t>
      </w:r>
      <w:r>
        <w:rPr>
          <w:lang w:val="en-US"/>
        </w:rPr>
        <w:t xml:space="preserve"> down to </w:t>
      </w:r>
      <w:r w:rsidRPr="005F253B">
        <w:rPr>
          <w:lang w:val="en-US"/>
        </w:rPr>
        <w:t>~1.5</w:t>
      </w:r>
      <w:r>
        <w:rPr>
          <w:lang w:val="en-US"/>
        </w:rPr>
        <w:t xml:space="preserve">. Such dependences </w:t>
      </w:r>
      <w:r w:rsidRPr="00F52637">
        <w:rPr>
          <w:position w:val="-10"/>
          <w:lang w:val="en-US"/>
        </w:rPr>
        <w:object w:dxaOrig="360" w:dyaOrig="340">
          <v:shape id="_x0000_i1034" type="#_x0000_t75" style="width:18pt;height:17.25pt" o:ole="">
            <v:imagedata r:id="rId18" o:title=""/>
          </v:shape>
          <o:OLEObject Type="Embed" ProgID="Equation.DSMT4" ShapeID="_x0000_i1034" DrawAspect="Content" ObjectID="_1648910964" r:id="rId25"/>
        </w:object>
      </w:r>
      <w:r>
        <w:rPr>
          <w:lang w:val="en-US"/>
        </w:rPr>
        <w:t xml:space="preserve"> on </w:t>
      </w:r>
      <w:r w:rsidRPr="00456421">
        <w:rPr>
          <w:i/>
          <w:lang w:val="en-US"/>
        </w:rPr>
        <w:t>T</w:t>
      </w:r>
      <w:r w:rsidRPr="00456421">
        <w:rPr>
          <w:i/>
          <w:vertAlign w:val="subscript"/>
          <w:lang w:val="en-US"/>
        </w:rPr>
        <w:t>i</w:t>
      </w:r>
      <w:r w:rsidRPr="005F253B">
        <w:rPr>
          <w:lang w:val="en-US"/>
        </w:rPr>
        <w:t>/</w:t>
      </w:r>
      <w:r w:rsidRPr="00456421">
        <w:rPr>
          <w:i/>
          <w:lang w:val="en-US"/>
        </w:rPr>
        <w:t>T</w:t>
      </w:r>
      <w:r w:rsidRPr="00456421">
        <w:rPr>
          <w:i/>
          <w:vertAlign w:val="subscript"/>
          <w:lang w:val="en-US"/>
        </w:rPr>
        <w:t>e</w:t>
      </w:r>
      <w:r>
        <w:rPr>
          <w:lang w:val="en-US"/>
        </w:rPr>
        <w:t xml:space="preserve"> is usually associated with ITG mode stabilization with the increase of </w:t>
      </w:r>
      <w:r w:rsidRPr="005F253B">
        <w:rPr>
          <w:i/>
          <w:lang w:val="en-US"/>
        </w:rPr>
        <w:t>T</w:t>
      </w:r>
      <w:r w:rsidRPr="005F253B">
        <w:rPr>
          <w:i/>
          <w:vertAlign w:val="subscript"/>
          <w:lang w:val="en-US"/>
        </w:rPr>
        <w:t>i</w:t>
      </w:r>
      <w:r w:rsidRPr="005F253B">
        <w:rPr>
          <w:lang w:val="en-US"/>
        </w:rPr>
        <w:t>/</w:t>
      </w:r>
      <w:r w:rsidRPr="005F253B">
        <w:rPr>
          <w:i/>
          <w:lang w:val="en-US"/>
        </w:rPr>
        <w:t>T</w:t>
      </w:r>
      <w:r w:rsidRPr="005F253B">
        <w:rPr>
          <w:i/>
          <w:vertAlign w:val="subscript"/>
          <w:lang w:val="en-US"/>
        </w:rPr>
        <w:t>e</w:t>
      </w:r>
      <w:r>
        <w:rPr>
          <w:lang w:val="en-US"/>
        </w:rPr>
        <w:t xml:space="preserve"> ratio [1].</w:t>
      </w:r>
    </w:p>
    <w:p w:rsidR="00FD12B2" w:rsidRDefault="00FD12B2" w:rsidP="00FD12B2">
      <w:pPr>
        <w:pStyle w:val="Zv-TitleReferences-en"/>
        <w:rPr>
          <w:lang w:val="en-US"/>
        </w:rPr>
      </w:pPr>
      <w:r>
        <w:rPr>
          <w:lang w:val="en-US"/>
        </w:rPr>
        <w:t>References</w:t>
      </w:r>
    </w:p>
    <w:p w:rsidR="00FD12B2" w:rsidRDefault="00FD12B2" w:rsidP="00FD12B2">
      <w:pPr>
        <w:pStyle w:val="Zv-References-en"/>
      </w:pPr>
      <w:r w:rsidRPr="00675410">
        <w:t xml:space="preserve">S. Breton et al 2018 Nucl. </w:t>
      </w:r>
      <w:r w:rsidRPr="009C5F58">
        <w:t>Fusion 58 096003</w:t>
      </w:r>
      <w:r>
        <w:t xml:space="preserve"> </w:t>
      </w:r>
    </w:p>
    <w:p w:rsidR="00654A7B" w:rsidRDefault="00654A7B">
      <w:pPr>
        <w:rPr>
          <w:lang w:val="en-US"/>
        </w:rPr>
      </w:pPr>
    </w:p>
    <w:sectPr w:rsidR="00654A7B" w:rsidSect="00F95123">
      <w:headerReference w:type="default" r:id="rId26"/>
      <w:footerReference w:type="even" r:id="rId27"/>
      <w:footerReference w:type="default" r:id="rId28"/>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7B8" w:rsidRDefault="00EA07B8">
      <w:r>
        <w:separator/>
      </w:r>
    </w:p>
  </w:endnote>
  <w:endnote w:type="continuationSeparator" w:id="0">
    <w:p w:rsidR="00EA07B8" w:rsidRDefault="00EA0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42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42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021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7B8" w:rsidRDefault="00EA07B8">
      <w:r>
        <w:separator/>
      </w:r>
    </w:p>
  </w:footnote>
  <w:footnote w:type="continuationSeparator" w:id="0">
    <w:p w:rsidR="00EA07B8" w:rsidRDefault="00EA07B8">
      <w:r>
        <w:continuationSeparator/>
      </w:r>
    </w:p>
  </w:footnote>
  <w:footnote w:id="1">
    <w:p w:rsidR="00C3021C" w:rsidRPr="00C3021C" w:rsidRDefault="00C3021C">
      <w:pPr>
        <w:pStyle w:val="ab"/>
        <w:rPr>
          <w:sz w:val="22"/>
          <w:szCs w:val="22"/>
          <w:lang w:val="en-US"/>
        </w:rPr>
      </w:pPr>
      <w:r w:rsidRPr="00C3021C">
        <w:rPr>
          <w:rStyle w:val="ad"/>
          <w:sz w:val="22"/>
          <w:szCs w:val="22"/>
          <w:lang w:val="en-US"/>
        </w:rPr>
        <w:t>*)</w:t>
      </w:r>
      <w:r w:rsidRPr="00C3021C">
        <w:rPr>
          <w:sz w:val="22"/>
          <w:szCs w:val="22"/>
          <w:lang w:val="en-US"/>
        </w:rPr>
        <w:t xml:space="preserve">  </w:t>
      </w:r>
      <w:hyperlink r:id="rId1" w:history="1">
        <w:r w:rsidRPr="00C3021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842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A07B8"/>
    <w:rsid w:val="00043701"/>
    <w:rsid w:val="000C657D"/>
    <w:rsid w:val="000C7078"/>
    <w:rsid w:val="000D76E9"/>
    <w:rsid w:val="000E495B"/>
    <w:rsid w:val="001C0CCB"/>
    <w:rsid w:val="00205708"/>
    <w:rsid w:val="00220629"/>
    <w:rsid w:val="0023083F"/>
    <w:rsid w:val="00247225"/>
    <w:rsid w:val="002E1276"/>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42EA"/>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3021C"/>
    <w:rsid w:val="00C5751F"/>
    <w:rsid w:val="00D47F19"/>
    <w:rsid w:val="00D900FB"/>
    <w:rsid w:val="00D92E54"/>
    <w:rsid w:val="00E118BE"/>
    <w:rsid w:val="00E7021A"/>
    <w:rsid w:val="00E87733"/>
    <w:rsid w:val="00EA07B8"/>
    <w:rsid w:val="00EE371E"/>
    <w:rsid w:val="00EF07A9"/>
    <w:rsid w:val="00F722F5"/>
    <w:rsid w:val="00F74399"/>
    <w:rsid w:val="00F95123"/>
    <w:rsid w:val="00FD12B2"/>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2B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D12B2"/>
    <w:rPr>
      <w:color w:val="0000FF" w:themeColor="hyperlink"/>
      <w:u w:val="single"/>
    </w:rPr>
  </w:style>
  <w:style w:type="table" w:styleId="a8">
    <w:name w:val="Table Grid"/>
    <w:basedOn w:val="a1"/>
    <w:rsid w:val="00FD1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FD12B2"/>
    <w:rPr>
      <w:rFonts w:ascii="Tahoma" w:hAnsi="Tahoma" w:cs="Tahoma"/>
      <w:sz w:val="16"/>
      <w:szCs w:val="16"/>
    </w:rPr>
  </w:style>
  <w:style w:type="character" w:customStyle="1" w:styleId="aa">
    <w:name w:val="Текст выноски Знак"/>
    <w:basedOn w:val="a0"/>
    <w:link w:val="a9"/>
    <w:rsid w:val="00FD12B2"/>
    <w:rPr>
      <w:rFonts w:ascii="Tahoma" w:hAnsi="Tahoma" w:cs="Tahoma"/>
      <w:sz w:val="16"/>
      <w:szCs w:val="16"/>
    </w:rPr>
  </w:style>
  <w:style w:type="paragraph" w:styleId="ab">
    <w:name w:val="footnote text"/>
    <w:basedOn w:val="a"/>
    <w:link w:val="ac"/>
    <w:rsid w:val="00C3021C"/>
    <w:rPr>
      <w:sz w:val="20"/>
      <w:szCs w:val="20"/>
    </w:rPr>
  </w:style>
  <w:style w:type="character" w:customStyle="1" w:styleId="ac">
    <w:name w:val="Текст сноски Знак"/>
    <w:basedOn w:val="a0"/>
    <w:link w:val="ab"/>
    <w:rsid w:val="00C3021C"/>
  </w:style>
  <w:style w:type="character" w:styleId="ad">
    <w:name w:val="footnote reference"/>
    <w:basedOn w:val="a0"/>
    <w:rsid w:val="00C302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galiev_mr@nrcki.ru" TargetMode="Externa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E-Nurgal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6D5BD-91EF-4D1C-903C-F612193A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317</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IMPURITY CONTENT ON ION HEAT CONDUCTIVITY IN THE T-10 TOKAMAK PLASMA</dc:title>
  <dc:creator>sato</dc:creator>
  <cp:lastModifiedBy>Сатунин</cp:lastModifiedBy>
  <cp:revision>2</cp:revision>
  <cp:lastPrinted>1601-01-01T00:00:00Z</cp:lastPrinted>
  <dcterms:created xsi:type="dcterms:W3CDTF">2020-02-14T14:39:00Z</dcterms:created>
  <dcterms:modified xsi:type="dcterms:W3CDTF">2020-04-20T15:02:00Z</dcterms:modified>
</cp:coreProperties>
</file>