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B9" w:rsidRDefault="004D7094" w:rsidP="009B01B9">
      <w:pPr>
        <w:pStyle w:val="Zv-Titlereport"/>
        <w:rPr>
          <w:lang w:val="en-US"/>
        </w:rPr>
      </w:pPr>
      <w:r w:rsidRPr="004D7094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pt;margin-top:-19.3pt;width:182.9pt;height:20.6pt;z-index:-251656192;mso-height-percent:200;mso-position-vertical:absolute;mso-height-percent:200;mso-width-relative:margin;mso-height-relative:margin" stroked="f">
            <v:textbox style="mso-fit-shape-to-text:t">
              <w:txbxContent>
                <w:p w:rsidR="004D7094" w:rsidRPr="004D7094" w:rsidRDefault="004D7094">
                  <w:pPr>
                    <w:rPr>
                      <w:sz w:val="22"/>
                      <w:szCs w:val="22"/>
                    </w:rPr>
                  </w:pPr>
                  <w:r w:rsidRPr="004D7094">
                    <w:rPr>
                      <w:sz w:val="22"/>
                      <w:szCs w:val="22"/>
                      <w:lang w:val="en-US"/>
                    </w:rPr>
                    <w:t xml:space="preserve">DOI: </w:t>
                  </w:r>
                  <w:r w:rsidRPr="004D7094">
                    <w:rPr>
                      <w:sz w:val="22"/>
                      <w:szCs w:val="22"/>
                    </w:rPr>
                    <w:t>10.34854/ICPAF.2020.47.1.027</w:t>
                  </w:r>
                </w:p>
              </w:txbxContent>
            </v:textbox>
            <w10:anchorlock/>
          </v:shape>
        </w:pict>
      </w:r>
      <w:r w:rsidR="009B01B9" w:rsidRPr="00867293">
        <w:rPr>
          <w:lang w:val="en-US"/>
        </w:rPr>
        <w:t>INFLUENCE OF SPATIAL DISPERSION ON THE DIELECTRIC RESPONSE OF PLASMA WITH STRONG SPATIAL INHOMOGENEITY</w:t>
      </w:r>
      <w:r>
        <w:rPr>
          <w:lang w:val="en-US"/>
        </w:rPr>
        <w:t xml:space="preserve"> </w:t>
      </w:r>
      <w:r>
        <w:rPr>
          <w:rStyle w:val="ac"/>
          <w:lang w:val="en-US"/>
        </w:rPr>
        <w:footnoteReference w:customMarkFollows="1" w:id="1"/>
        <w:t>*)</w:t>
      </w:r>
    </w:p>
    <w:p w:rsidR="009B01B9" w:rsidRDefault="009B01B9" w:rsidP="009B01B9">
      <w:pPr>
        <w:pStyle w:val="Zv-Author"/>
        <w:rPr>
          <w:lang w:val="en-US"/>
        </w:rPr>
      </w:pPr>
      <w:r w:rsidRPr="008817E7">
        <w:rPr>
          <w:lang w:val="en-US"/>
        </w:rPr>
        <w:t>Khusainov</w:t>
      </w:r>
      <w:r>
        <w:rPr>
          <w:lang w:val="en-US"/>
        </w:rPr>
        <w:t xml:space="preserve"> T.A.</w:t>
      </w:r>
    </w:p>
    <w:p w:rsidR="009B01B9" w:rsidRDefault="009B01B9" w:rsidP="009B01B9">
      <w:pPr>
        <w:pStyle w:val="Zv-Organization"/>
        <w:rPr>
          <w:rStyle w:val="a7"/>
          <w:lang w:val="en-US"/>
        </w:rPr>
      </w:pPr>
      <w:r>
        <w:rPr>
          <w:lang w:val="en-US"/>
        </w:rPr>
        <w:t xml:space="preserve">IAP RAS, </w:t>
      </w:r>
      <w:r w:rsidRPr="008817E7">
        <w:rPr>
          <w:lang w:val="en-US"/>
        </w:rPr>
        <w:t>Nizhny Novgorod</w:t>
      </w:r>
      <w:r>
        <w:rPr>
          <w:lang w:val="en-US"/>
        </w:rPr>
        <w:t xml:space="preserve">, Russia, </w:t>
      </w:r>
      <w:hyperlink r:id="rId8" w:history="1">
        <w:r w:rsidRPr="00CE730C">
          <w:rPr>
            <w:rStyle w:val="a7"/>
            <w:lang w:val="en-US"/>
          </w:rPr>
          <w:t>hta</w:t>
        </w:r>
        <w:r w:rsidRPr="008817E7">
          <w:rPr>
            <w:rStyle w:val="a7"/>
            <w:lang w:val="en-US"/>
          </w:rPr>
          <w:t>@</w:t>
        </w:r>
        <w:r w:rsidRPr="00CE730C">
          <w:rPr>
            <w:rStyle w:val="a7"/>
            <w:lang w:val="en-US"/>
          </w:rPr>
          <w:t>ipfran</w:t>
        </w:r>
        <w:r w:rsidRPr="008817E7">
          <w:rPr>
            <w:rStyle w:val="a7"/>
            <w:lang w:val="en-US"/>
          </w:rPr>
          <w:t>.</w:t>
        </w:r>
        <w:r w:rsidRPr="00CE730C">
          <w:rPr>
            <w:rStyle w:val="a7"/>
            <w:lang w:val="en-US"/>
          </w:rPr>
          <w:t>ru</w:t>
        </w:r>
      </w:hyperlink>
    </w:p>
    <w:p w:rsidR="009B01B9" w:rsidRDefault="009B01B9" w:rsidP="009B01B9">
      <w:pPr>
        <w:pStyle w:val="Zv-bodyreport"/>
        <w:rPr>
          <w:lang w:val="en-US"/>
        </w:rPr>
      </w:pPr>
      <w:r w:rsidRPr="00F6664F">
        <w:rPr>
          <w:lang w:val="en-US"/>
        </w:rPr>
        <w:t>The problem of the simulation of electromagnetic wave propagation</w:t>
      </w:r>
      <w:r>
        <w:rPr>
          <w:lang w:val="en-US"/>
        </w:rPr>
        <w:t xml:space="preserve"> </w:t>
      </w:r>
      <w:r w:rsidRPr="00F6664F">
        <w:rPr>
          <w:lang w:val="en-US"/>
        </w:rPr>
        <w:t>in anisotropic inhomogeneous media with spatial</w:t>
      </w:r>
      <w:r>
        <w:rPr>
          <w:lang w:val="en-US"/>
        </w:rPr>
        <w:t xml:space="preserve"> </w:t>
      </w:r>
      <w:r w:rsidRPr="00F6664F">
        <w:rPr>
          <w:lang w:val="en-US"/>
        </w:rPr>
        <w:t>dispersion is currently an important one.</w:t>
      </w:r>
      <w:r>
        <w:rPr>
          <w:lang w:val="en-US"/>
        </w:rPr>
        <w:t xml:space="preserve"> </w:t>
      </w:r>
      <w:r w:rsidRPr="00F6664F">
        <w:rPr>
          <w:lang w:val="en-US"/>
        </w:rPr>
        <w:t xml:space="preserve">In particular, this is due to the widespread use of microwave plasma heating in magnetic </w:t>
      </w:r>
      <w:r>
        <w:rPr>
          <w:lang w:val="en-US"/>
        </w:rPr>
        <w:t>fusion devices</w:t>
      </w:r>
      <w:r w:rsidRPr="00F6664F">
        <w:rPr>
          <w:lang w:val="en-US"/>
        </w:rPr>
        <w:t>, and the development of technology and the increase in available heating power naturally require an increase in the quality of modeling.</w:t>
      </w:r>
    </w:p>
    <w:p w:rsidR="009B01B9" w:rsidRDefault="009B01B9" w:rsidP="009B01B9">
      <w:pPr>
        <w:pStyle w:val="Zv-bodyreport"/>
        <w:rPr>
          <w:lang w:val="en-US"/>
        </w:rPr>
      </w:pPr>
      <w:r w:rsidRPr="0016085D">
        <w:rPr>
          <w:lang w:val="en-US"/>
        </w:rPr>
        <w:t>In modeling, one of the difficulties is taking into account spatial dispersion in inhomogeneous media, since the dielectric permittivity tensor is usually known only in the quasi</w:t>
      </w:r>
      <w:r>
        <w:rPr>
          <w:lang w:val="en-US"/>
        </w:rPr>
        <w:t>-</w:t>
      </w:r>
      <w:r w:rsidRPr="0016085D">
        <w:rPr>
          <w:lang w:val="en-US"/>
        </w:rPr>
        <w:t xml:space="preserve">homogeneous approximation, when spatial dispersion is determined for a homogeneous medium, and the spatial inhomogeneity is introduced approximately by taking into account the spatial inhomogeneity of the plasma and magnetic field parameters. Such an approximation is suitable for </w:t>
      </w:r>
      <w:r>
        <w:rPr>
          <w:lang w:val="en-US"/>
        </w:rPr>
        <w:t>ray tracing</w:t>
      </w:r>
      <w:r w:rsidRPr="0016085D">
        <w:rPr>
          <w:lang w:val="en-US"/>
        </w:rPr>
        <w:t>, but it may not be enough for a full-wave simulation.</w:t>
      </w:r>
    </w:p>
    <w:p w:rsidR="009B01B9" w:rsidRDefault="009B01B9" w:rsidP="009B01B9">
      <w:pPr>
        <w:pStyle w:val="Zv-bodyreport"/>
        <w:rPr>
          <w:lang w:val="en-US"/>
        </w:rPr>
      </w:pPr>
      <w:r>
        <w:rPr>
          <w:lang w:val="en-US"/>
        </w:rPr>
        <w:t>Besides</w:t>
      </w:r>
      <w:r w:rsidRPr="00CD7907">
        <w:rPr>
          <w:lang w:val="en-US"/>
        </w:rPr>
        <w:t>, existing theories describing the response of the plasma beyond the quasi</w:t>
      </w:r>
      <w:r>
        <w:rPr>
          <w:lang w:val="en-US"/>
        </w:rPr>
        <w:t>-</w:t>
      </w:r>
      <w:r w:rsidRPr="00CD7907">
        <w:rPr>
          <w:lang w:val="en-US"/>
        </w:rPr>
        <w:t>homogeneous approximation consider only particular cases and are not suitable for working with general inhomogeneity. Among such works, one can note the work where the quasi</w:t>
      </w:r>
      <w:r>
        <w:rPr>
          <w:lang w:val="en-US"/>
        </w:rPr>
        <w:t>-</w:t>
      </w:r>
      <w:r w:rsidRPr="00CD7907">
        <w:rPr>
          <w:lang w:val="en-US"/>
        </w:rPr>
        <w:t>homogeneous approximation was further refined using energy relations [1] and the work where the response of a plasma with two-dimensional inhomogeneity across the external magnetic field was found by expansion in a small parameter: the ratio of the Larmor radius to the wavelength [2].</w:t>
      </w:r>
    </w:p>
    <w:p w:rsidR="009B01B9" w:rsidRDefault="009B01B9" w:rsidP="009B01B9">
      <w:pPr>
        <w:pStyle w:val="Zv-bodyreport"/>
        <w:rPr>
          <w:lang w:val="en-US"/>
        </w:rPr>
      </w:pPr>
      <w:r w:rsidRPr="000A76FD">
        <w:rPr>
          <w:lang w:val="en-US"/>
        </w:rPr>
        <w:t xml:space="preserve">In this </w:t>
      </w:r>
      <w:r>
        <w:rPr>
          <w:lang w:val="en-US"/>
        </w:rPr>
        <w:t>paper</w:t>
      </w:r>
      <w:r w:rsidRPr="000A76FD">
        <w:rPr>
          <w:lang w:val="en-US"/>
        </w:rPr>
        <w:t xml:space="preserve">, we will discuss an original approach to the analysis of the dielectric response of a warm inhomogeneous plasma, the main idea of which is to analyze the function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,</m:t>
            </m:r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,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'</m:t>
            </m:r>
          </m:e>
        </m:d>
      </m:oMath>
      <w:r w:rsidRPr="000A76FD">
        <w:rPr>
          <w:lang w:val="en-US"/>
        </w:rPr>
        <w:t xml:space="preserve"> instead of the response for a plane wave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  <w:lang w:val="en-US"/>
              </w:rPr>
              <m:t>,</m:t>
            </m:r>
            <m:r>
              <w:rPr>
                <w:rFonts w:ascii="Cambria Math" w:hAnsi="Cambria Math"/>
              </w:rPr>
              <m:t>ω</m:t>
            </m:r>
          </m:e>
        </m:d>
      </m:oMath>
      <w:r w:rsidRPr="000A76FD">
        <w:rPr>
          <w:lang w:val="en-US"/>
        </w:rPr>
        <w:t>, which is the core of the integral form of the response representation:</w:t>
      </w:r>
    </w:p>
    <w:p w:rsidR="009B01B9" w:rsidRPr="00026D68" w:rsidRDefault="007A5137" w:rsidP="009B01B9">
      <w:pPr>
        <w:pStyle w:val="Zv-formula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∭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-∞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∞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-∞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r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r'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</m:e>
                  </m:d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dt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e>
              </m:nary>
            </m:e>
          </m:nary>
          <m:r>
            <w:rPr>
              <w:rFonts w:ascii="Cambria Math" w:hAnsi="Cambria Math"/>
            </w:rPr>
            <m:t>,</m:t>
          </m:r>
        </m:oMath>
      </m:oMathPara>
    </w:p>
    <w:p w:rsidR="009B01B9" w:rsidRDefault="009B01B9" w:rsidP="009B01B9">
      <w:pPr>
        <w:pStyle w:val="Zv-bodyreportcont"/>
        <w:rPr>
          <w:lang w:val="en-US"/>
        </w:rPr>
      </w:pPr>
      <w:r w:rsidRPr="000A76FD">
        <w:rPr>
          <w:lang w:val="en-US"/>
        </w:rPr>
        <w:t xml:space="preserve">The integral core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,</m:t>
            </m:r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,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-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'</m:t>
            </m:r>
          </m:e>
        </m:d>
      </m:oMath>
      <w:r w:rsidRPr="000A76FD">
        <w:rPr>
          <w:lang w:val="en-US"/>
        </w:rPr>
        <w:t xml:space="preserve"> in this </w:t>
      </w:r>
      <w:r>
        <w:rPr>
          <w:lang w:val="en-US"/>
        </w:rPr>
        <w:t>approach</w:t>
      </w:r>
      <w:r w:rsidRPr="000A76FD">
        <w:rPr>
          <w:lang w:val="en-US"/>
        </w:rPr>
        <w:t xml:space="preserve"> is explicitly determined from the solution of the linearized kinetic equation, and depends only on the parameters of the unperturbed electron trajectories and their distribution function. The </w:t>
      </w:r>
      <w:r>
        <w:rPr>
          <w:lang w:val="en-US"/>
        </w:rPr>
        <w:t>core</w:t>
      </w:r>
      <w:r w:rsidRPr="000A76FD">
        <w:rPr>
          <w:lang w:val="en-US"/>
        </w:rPr>
        <w:t xml:space="preserve"> completely describes all the features of the plasma response, and it has the physical meaning of the response of the medium to a point electric field, which turned on at time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en-US"/>
          </w:rPr>
          <m:t>'</m:t>
        </m:r>
      </m:oMath>
      <w:r>
        <w:rPr>
          <w:lang w:val="en-US"/>
        </w:rPr>
        <w:t xml:space="preserve"> </w:t>
      </w:r>
      <w:r w:rsidRPr="000A76FD">
        <w:rPr>
          <w:lang w:val="en-US"/>
        </w:rPr>
        <w:t xml:space="preserve">at a point with coordinate </w:t>
      </w:r>
      <m:oMath>
        <m:r>
          <m:rPr>
            <m:sty m:val="b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  <w:lang w:val="en-US"/>
          </w:rPr>
          <m:t>'</m:t>
        </m:r>
      </m:oMath>
      <w:r w:rsidRPr="000A76FD">
        <w:rPr>
          <w:lang w:val="en-US"/>
        </w:rPr>
        <w:t xml:space="preserve">. The approach allows us to consider media with arbitrary heterogeneity from the first principles, and the analysis </w:t>
      </w:r>
      <w:r>
        <w:rPr>
          <w:lang w:val="en-US"/>
        </w:rPr>
        <w:t xml:space="preserve">is </w:t>
      </w:r>
      <w:r w:rsidRPr="000A76FD">
        <w:rPr>
          <w:lang w:val="en-US"/>
        </w:rPr>
        <w:t>further simplifie</w:t>
      </w:r>
      <w:r>
        <w:rPr>
          <w:lang w:val="en-US"/>
        </w:rPr>
        <w:t>d by</w:t>
      </w:r>
      <w:r w:rsidRPr="000A76FD">
        <w:rPr>
          <w:lang w:val="en-US"/>
        </w:rPr>
        <w:t xml:space="preserve"> the fact that the </w:t>
      </w:r>
      <w:r>
        <w:rPr>
          <w:lang w:val="en-US"/>
        </w:rPr>
        <w:t>inhomo</w:t>
      </w:r>
      <w:r w:rsidRPr="000A76FD">
        <w:rPr>
          <w:lang w:val="en-US"/>
        </w:rPr>
        <w:t xml:space="preserve">geneity of the probe field does not </w:t>
      </w:r>
      <w:r w:rsidRPr="00552FF0">
        <w:rPr>
          <w:lang w:val="en-US"/>
        </w:rPr>
        <w:t>superpose</w:t>
      </w:r>
      <w:r>
        <w:rPr>
          <w:lang w:val="en-US"/>
        </w:rPr>
        <w:t xml:space="preserve"> </w:t>
      </w:r>
      <w:r w:rsidRPr="000A76FD">
        <w:rPr>
          <w:lang w:val="en-US"/>
        </w:rPr>
        <w:t xml:space="preserve">with the </w:t>
      </w:r>
      <w:r>
        <w:rPr>
          <w:lang w:val="en-US"/>
        </w:rPr>
        <w:t>inhomo</w:t>
      </w:r>
      <w:r w:rsidRPr="000A76FD">
        <w:rPr>
          <w:lang w:val="en-US"/>
        </w:rPr>
        <w:t>geneity of the medium.</w:t>
      </w:r>
    </w:p>
    <w:p w:rsidR="009B01B9" w:rsidRDefault="009B01B9" w:rsidP="009B01B9">
      <w:pPr>
        <w:pStyle w:val="Zv-bodyreport"/>
        <w:rPr>
          <w:lang w:val="en-US"/>
        </w:rPr>
      </w:pPr>
      <w:r w:rsidRPr="00552FF0">
        <w:rPr>
          <w:lang w:val="en-US"/>
        </w:rPr>
        <w:t xml:space="preserve">In this </w:t>
      </w:r>
      <w:r>
        <w:rPr>
          <w:lang w:val="en-US"/>
        </w:rPr>
        <w:t>paper</w:t>
      </w:r>
      <w:r w:rsidRPr="00552FF0">
        <w:rPr>
          <w:lang w:val="en-US"/>
        </w:rPr>
        <w:t xml:space="preserve">, using the example of several model media, we will consider the </w:t>
      </w:r>
      <w:r w:rsidRPr="005D489C">
        <w:rPr>
          <w:lang w:val="en-US"/>
        </w:rPr>
        <w:t>interference</w:t>
      </w:r>
      <w:r w:rsidRPr="00552FF0">
        <w:rPr>
          <w:lang w:val="en-US"/>
        </w:rPr>
        <w:t xml:space="preserve"> of spatial dispersion and spatial inhomogeneity, and study the limits of applicability of the quasi</w:t>
      </w:r>
      <w:r>
        <w:rPr>
          <w:lang w:val="en-US"/>
        </w:rPr>
        <w:t>-</w:t>
      </w:r>
      <w:r w:rsidRPr="00552FF0">
        <w:rPr>
          <w:lang w:val="en-US"/>
        </w:rPr>
        <w:t>homogeneous approximation.</w:t>
      </w:r>
    </w:p>
    <w:p w:rsidR="009B01B9" w:rsidRDefault="009B01B9" w:rsidP="009B01B9">
      <w:pPr>
        <w:pStyle w:val="Zv-TitleReferences-en"/>
        <w:rPr>
          <w:lang w:val="en-US"/>
        </w:rPr>
      </w:pPr>
      <w:r w:rsidRPr="005D7964">
        <w:rPr>
          <w:lang w:val="en-US"/>
        </w:rPr>
        <w:t>References</w:t>
      </w:r>
    </w:p>
    <w:p w:rsidR="009B01B9" w:rsidRDefault="009B01B9" w:rsidP="009B01B9">
      <w:pPr>
        <w:pStyle w:val="Zv-References-en"/>
      </w:pPr>
      <w:r w:rsidRPr="00914715">
        <w:t>Balakin A. A.,</w:t>
      </w:r>
      <w:r>
        <w:t xml:space="preserve"> </w:t>
      </w:r>
      <w:r w:rsidRPr="00914715">
        <w:t>Gospodchikov E. D., J. Phys. B</w:t>
      </w:r>
      <w:r w:rsidRPr="00552FF0">
        <w:t xml:space="preserve">: </w:t>
      </w:r>
      <w:r w:rsidRPr="00914715">
        <w:t>At</w:t>
      </w:r>
      <w:r w:rsidRPr="00552FF0">
        <w:t xml:space="preserve">. </w:t>
      </w:r>
      <w:r w:rsidRPr="00914715">
        <w:t>Mol</w:t>
      </w:r>
      <w:r w:rsidRPr="00552FF0">
        <w:t xml:space="preserve">. </w:t>
      </w:r>
      <w:r w:rsidRPr="00914715">
        <w:t>Opt</w:t>
      </w:r>
      <w:r w:rsidRPr="00552FF0">
        <w:t xml:space="preserve">. </w:t>
      </w:r>
      <w:r w:rsidRPr="00914715">
        <w:t>Phys</w:t>
      </w:r>
      <w:r w:rsidRPr="00552FF0">
        <w:t>.</w:t>
      </w:r>
      <w:r>
        <w:t>,</w:t>
      </w:r>
      <w:r w:rsidRPr="00552FF0">
        <w:t xml:space="preserve"> 2015</w:t>
      </w:r>
      <w:r>
        <w:t>,</w:t>
      </w:r>
      <w:r w:rsidRPr="00552FF0">
        <w:t xml:space="preserve"> </w:t>
      </w:r>
      <w:r>
        <w:t>V</w:t>
      </w:r>
      <w:r w:rsidRPr="00552FF0">
        <w:t xml:space="preserve">. 48, </w:t>
      </w:r>
      <w:r>
        <w:t>P</w:t>
      </w:r>
      <w:r w:rsidRPr="00552FF0">
        <w:t>. 215701</w:t>
      </w:r>
      <w:r>
        <w:t>.</w:t>
      </w:r>
    </w:p>
    <w:p w:rsidR="009B01B9" w:rsidRPr="00552FF0" w:rsidRDefault="009B01B9" w:rsidP="009B01B9">
      <w:pPr>
        <w:pStyle w:val="Zv-References-en"/>
      </w:pPr>
      <w:r w:rsidRPr="00CD2327">
        <w:t>Sakharov A.S.</w:t>
      </w:r>
      <w:r>
        <w:t xml:space="preserve">, Plasma Phys. Rep., </w:t>
      </w:r>
      <w:r w:rsidRPr="00CD2327">
        <w:t>2017</w:t>
      </w:r>
      <w:r>
        <w:t>,</w:t>
      </w:r>
      <w:r w:rsidRPr="00CD2327">
        <w:t xml:space="preserve"> </w:t>
      </w:r>
      <w:r>
        <w:t xml:space="preserve">V. </w:t>
      </w:r>
      <w:r w:rsidRPr="00CD2327">
        <w:t>43</w:t>
      </w:r>
      <w:r>
        <w:t>, P.</w:t>
      </w:r>
      <w:r w:rsidRPr="00CD2327">
        <w:t xml:space="preserve"> 1065.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F3F" w:rsidRDefault="001C7F3F">
      <w:r>
        <w:separator/>
      </w:r>
    </w:p>
  </w:endnote>
  <w:endnote w:type="continuationSeparator" w:id="0">
    <w:p w:rsidR="001C7F3F" w:rsidRDefault="001C7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51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51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709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F3F" w:rsidRDefault="001C7F3F">
      <w:r>
        <w:separator/>
      </w:r>
    </w:p>
  </w:footnote>
  <w:footnote w:type="continuationSeparator" w:id="0">
    <w:p w:rsidR="001C7F3F" w:rsidRDefault="001C7F3F">
      <w:r>
        <w:continuationSeparator/>
      </w:r>
    </w:p>
  </w:footnote>
  <w:footnote w:id="1">
    <w:p w:rsidR="004D7094" w:rsidRPr="004D7094" w:rsidRDefault="004D7094">
      <w:pPr>
        <w:pStyle w:val="aa"/>
        <w:rPr>
          <w:sz w:val="22"/>
          <w:szCs w:val="22"/>
          <w:lang w:val="en-US"/>
        </w:rPr>
      </w:pPr>
      <w:r w:rsidRPr="004D7094">
        <w:rPr>
          <w:rStyle w:val="ac"/>
          <w:sz w:val="22"/>
          <w:szCs w:val="22"/>
          <w:lang w:val="en-US"/>
        </w:rPr>
        <w:t>*)</w:t>
      </w:r>
      <w:r w:rsidRPr="004D7094">
        <w:rPr>
          <w:sz w:val="22"/>
          <w:szCs w:val="22"/>
          <w:lang w:val="en-US"/>
        </w:rPr>
        <w:t xml:space="preserve">  </w:t>
      </w:r>
      <w:hyperlink r:id="rId1" w:history="1">
        <w:r w:rsidRPr="004D7094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7A513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7F3F"/>
    <w:rsid w:val="00043701"/>
    <w:rsid w:val="000C657D"/>
    <w:rsid w:val="000C7078"/>
    <w:rsid w:val="000D76E9"/>
    <w:rsid w:val="000E495B"/>
    <w:rsid w:val="001C0CCB"/>
    <w:rsid w:val="001C7F3F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D7094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A5137"/>
    <w:rsid w:val="007B09C9"/>
    <w:rsid w:val="007B6378"/>
    <w:rsid w:val="007E06CE"/>
    <w:rsid w:val="00802D35"/>
    <w:rsid w:val="008306AF"/>
    <w:rsid w:val="008520F9"/>
    <w:rsid w:val="008850EF"/>
    <w:rsid w:val="008B0576"/>
    <w:rsid w:val="00906FF7"/>
    <w:rsid w:val="009B01B9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9B01B9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9B01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B01B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4D7094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D7094"/>
  </w:style>
  <w:style w:type="character" w:styleId="ac">
    <w:name w:val="footnote reference"/>
    <w:basedOn w:val="a0"/>
    <w:rsid w:val="004D70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ipf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ru/AJ-Khusai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4D37D-CE11-4A10-BDA7-F70B0A45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4</TotalTime>
  <Pages>1</Pages>
  <Words>466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INFLUENCE OF SPATIAL DISPERSION ON THE DIELECTRIC RESPONSE OF PLASMA WITH STRONG SPATIAL INHOMOGENEITY</dc:title>
  <dc:creator>sato</dc:creator>
  <cp:lastModifiedBy>Сатунин</cp:lastModifiedBy>
  <cp:revision>2</cp:revision>
  <cp:lastPrinted>1601-01-01T00:00:00Z</cp:lastPrinted>
  <dcterms:created xsi:type="dcterms:W3CDTF">2020-02-12T14:42:00Z</dcterms:created>
  <dcterms:modified xsi:type="dcterms:W3CDTF">2020-04-17T14:18:00Z</dcterms:modified>
</cp:coreProperties>
</file>