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C5" w:rsidRPr="006E4C1B" w:rsidRDefault="00D835A9" w:rsidP="00D835A9">
      <w:pPr>
        <w:pStyle w:val="Zv-Titlereport"/>
        <w:spacing w:line="228" w:lineRule="auto"/>
        <w:ind w:left="1418" w:right="1416"/>
        <w:rPr>
          <w:lang w:val="en-US"/>
        </w:rPr>
      </w:pPr>
      <w:r w:rsidRPr="00D835A9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6pt;margin-top:-20.2pt;width:186.1pt;height:20.6pt;z-index:-251655680;mso-height-percent:200;mso-height-percent:200;mso-width-relative:margin;mso-height-relative:margin" stroked="f">
            <v:textbox style="mso-fit-shape-to-text:t">
              <w:txbxContent>
                <w:p w:rsidR="00D835A9" w:rsidRPr="00D835A9" w:rsidRDefault="00D835A9">
                  <w:pPr>
                    <w:rPr>
                      <w:sz w:val="22"/>
                      <w:szCs w:val="22"/>
                    </w:rPr>
                  </w:pPr>
                  <w:r w:rsidRPr="00D835A9">
                    <w:rPr>
                      <w:sz w:val="22"/>
                      <w:szCs w:val="22"/>
                      <w:lang w:val="en-US"/>
                    </w:rPr>
                    <w:t xml:space="preserve">DOI: </w:t>
                  </w:r>
                  <w:r w:rsidRPr="00D835A9">
                    <w:rPr>
                      <w:sz w:val="22"/>
                      <w:szCs w:val="22"/>
                    </w:rPr>
                    <w:t>10.34854/ICPAF.2020.47.1.018</w:t>
                  </w:r>
                </w:p>
              </w:txbxContent>
            </v:textbox>
            <w10:anchorlock/>
          </v:shape>
        </w:pict>
      </w:r>
      <w:r w:rsidR="00DD78C5">
        <w:rPr>
          <w:lang w:val="en-US"/>
        </w:rPr>
        <w:t>comparison of ECR heating in the t-10</w:t>
      </w:r>
      <w:r w:rsidR="00DD78C5" w:rsidRPr="006E4C1B">
        <w:rPr>
          <w:lang w:val="en-US"/>
        </w:rPr>
        <w:t xml:space="preserve"> </w:t>
      </w:r>
      <w:r w:rsidR="00DD78C5">
        <w:rPr>
          <w:lang w:val="en-US"/>
        </w:rPr>
        <w:t>tokamak at first and second harmonics</w:t>
      </w:r>
      <w:r>
        <w:rPr>
          <w:lang w:val="en-US"/>
        </w:rPr>
        <w:t xml:space="preserve"> </w:t>
      </w:r>
      <w:r>
        <w:rPr>
          <w:rStyle w:val="ac"/>
          <w:lang w:val="en-US"/>
        </w:rPr>
        <w:footnoteReference w:customMarkFollows="1" w:id="1"/>
        <w:t>*)</w:t>
      </w:r>
    </w:p>
    <w:p w:rsidR="00DD78C5" w:rsidRPr="00EA6BD1" w:rsidRDefault="00DD78C5" w:rsidP="00D835A9">
      <w:pPr>
        <w:pStyle w:val="Zv-Author"/>
        <w:spacing w:line="228" w:lineRule="auto"/>
        <w:rPr>
          <w:lang w:val="en-US"/>
        </w:rPr>
      </w:pPr>
      <w:r w:rsidRPr="00DD78C5">
        <w:rPr>
          <w:vertAlign w:val="superscript"/>
          <w:lang w:val="en-US"/>
        </w:rPr>
        <w:t>1</w:t>
      </w:r>
      <w:r w:rsidRPr="00EA6BD1">
        <w:rPr>
          <w:lang w:val="en-US"/>
        </w:rPr>
        <w:t xml:space="preserve">Dnestrovskij Yu.N., </w:t>
      </w:r>
      <w:r w:rsidRPr="00DD78C5">
        <w:rPr>
          <w:vertAlign w:val="superscript"/>
          <w:lang w:val="en-US"/>
        </w:rPr>
        <w:t>1</w:t>
      </w:r>
      <w:r w:rsidRPr="00EA6BD1">
        <w:rPr>
          <w:lang w:val="en-US"/>
        </w:rPr>
        <w:t xml:space="preserve">Danilov A.V., </w:t>
      </w:r>
      <w:r w:rsidRPr="00DD78C5">
        <w:rPr>
          <w:vertAlign w:val="superscript"/>
          <w:lang w:val="en-US"/>
        </w:rPr>
        <w:t>1</w:t>
      </w:r>
      <w:r w:rsidRPr="00EA6BD1">
        <w:rPr>
          <w:lang w:val="en-US"/>
        </w:rPr>
        <w:t xml:space="preserve">Dnestrovskij A.Yu., </w:t>
      </w:r>
      <w:r w:rsidRPr="00DD78C5">
        <w:rPr>
          <w:vertAlign w:val="superscript"/>
          <w:lang w:val="en-US"/>
        </w:rPr>
        <w:t>1</w:t>
      </w:r>
      <w:r w:rsidRPr="00EA6BD1">
        <w:rPr>
          <w:lang w:val="en-US"/>
        </w:rPr>
        <w:t xml:space="preserve">Klyuchnikov L.A., </w:t>
      </w:r>
      <w:r w:rsidRPr="00DD78C5">
        <w:rPr>
          <w:vertAlign w:val="superscript"/>
          <w:lang w:val="en-US"/>
        </w:rPr>
        <w:t>1</w:t>
      </w:r>
      <w:r w:rsidRPr="00EA6BD1">
        <w:rPr>
          <w:lang w:val="en-US"/>
        </w:rPr>
        <w:t>Lysenko</w:t>
      </w:r>
      <w:r>
        <w:rPr>
          <w:lang w:val="en-US"/>
        </w:rPr>
        <w:t> </w:t>
      </w:r>
      <w:r w:rsidRPr="00EA6BD1">
        <w:rPr>
          <w:lang w:val="en-US"/>
        </w:rPr>
        <w:t xml:space="preserve">S.E., </w:t>
      </w:r>
      <w:r w:rsidRPr="00DD78C5">
        <w:rPr>
          <w:vertAlign w:val="superscript"/>
          <w:lang w:val="en-US"/>
        </w:rPr>
        <w:t>1</w:t>
      </w:r>
      <w:r w:rsidRPr="00EA6BD1">
        <w:rPr>
          <w:lang w:val="en-US"/>
        </w:rPr>
        <w:t xml:space="preserve">Melnikov A.V., </w:t>
      </w:r>
      <w:r w:rsidRPr="00DD78C5">
        <w:rPr>
          <w:vertAlign w:val="superscript"/>
          <w:lang w:val="en-US"/>
        </w:rPr>
        <w:t>1</w:t>
      </w:r>
      <w:r>
        <w:rPr>
          <w:lang w:val="en-US"/>
        </w:rPr>
        <w:t xml:space="preserve">Nemets A.R., </w:t>
      </w:r>
      <w:r w:rsidRPr="00DD78C5">
        <w:rPr>
          <w:vertAlign w:val="superscript"/>
          <w:lang w:val="en-US"/>
        </w:rPr>
        <w:t>1</w:t>
      </w:r>
      <w:r w:rsidRPr="00EA6BD1">
        <w:rPr>
          <w:lang w:val="en-US"/>
        </w:rPr>
        <w:t xml:space="preserve">Nurgaliev M.R., </w:t>
      </w:r>
      <w:r w:rsidRPr="00DD78C5">
        <w:rPr>
          <w:vertAlign w:val="superscript"/>
          <w:lang w:val="en-US"/>
        </w:rPr>
        <w:t>1</w:t>
      </w:r>
      <w:r w:rsidRPr="00EA6BD1">
        <w:rPr>
          <w:lang w:val="en-US"/>
        </w:rPr>
        <w:t xml:space="preserve">Subbotin G.F., </w:t>
      </w:r>
      <w:r w:rsidRPr="00DD78C5">
        <w:rPr>
          <w:vertAlign w:val="superscript"/>
          <w:lang w:val="en-US"/>
        </w:rPr>
        <w:t>1</w:t>
      </w:r>
      <w:r w:rsidRPr="00EA6BD1">
        <w:rPr>
          <w:lang w:val="en-US"/>
        </w:rPr>
        <w:t>Soloviev</w:t>
      </w:r>
      <w:r>
        <w:rPr>
          <w:lang w:val="en-US"/>
        </w:rPr>
        <w:t> </w:t>
      </w:r>
      <w:r w:rsidRPr="00EA6BD1">
        <w:rPr>
          <w:lang w:val="en-US"/>
        </w:rPr>
        <w:t xml:space="preserve">N.A., </w:t>
      </w:r>
      <w:r w:rsidRPr="00DD78C5">
        <w:rPr>
          <w:vertAlign w:val="superscript"/>
          <w:lang w:val="en-US"/>
        </w:rPr>
        <w:t>1</w:t>
      </w:r>
      <w:r w:rsidRPr="00EA6BD1">
        <w:rPr>
          <w:lang w:val="en-US"/>
        </w:rPr>
        <w:t xml:space="preserve">Sushkov A.V.,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Sychugov D.Yu. </w:t>
      </w:r>
      <w:r w:rsidRPr="00EA6BD1">
        <w:rPr>
          <w:lang w:val="en-US"/>
        </w:rPr>
        <w:t xml:space="preserve">and </w:t>
      </w:r>
      <w:r w:rsidRPr="00DD78C5">
        <w:rPr>
          <w:vertAlign w:val="superscript"/>
          <w:lang w:val="en-US"/>
        </w:rPr>
        <w:t>1</w:t>
      </w:r>
      <w:r w:rsidRPr="00EA6BD1">
        <w:rPr>
          <w:lang w:val="en-US"/>
        </w:rPr>
        <w:t>Cherkasov S.V.</w:t>
      </w:r>
    </w:p>
    <w:p w:rsidR="00DD78C5" w:rsidRDefault="00DD78C5" w:rsidP="00D835A9">
      <w:pPr>
        <w:pStyle w:val="Zv-Organization"/>
        <w:spacing w:line="228" w:lineRule="auto"/>
        <w:rPr>
          <w:lang w:val="en-US"/>
        </w:rPr>
      </w:pPr>
      <w:r w:rsidRPr="00DD78C5">
        <w:rPr>
          <w:iCs/>
          <w:vertAlign w:val="superscript"/>
          <w:lang w:val="en-US"/>
        </w:rPr>
        <w:t>1</w:t>
      </w:r>
      <w:r w:rsidRPr="00EA6BD1">
        <w:rPr>
          <w:lang w:val="en-US"/>
        </w:rPr>
        <w:t xml:space="preserve">NRC </w:t>
      </w:r>
      <w:r>
        <w:rPr>
          <w:lang w:val="en-US"/>
        </w:rPr>
        <w:t>‘</w:t>
      </w:r>
      <w:r w:rsidRPr="00EA6BD1">
        <w:rPr>
          <w:lang w:val="en-US"/>
        </w:rPr>
        <w:t>Kurchatov Institute</w:t>
      </w:r>
      <w:r>
        <w:rPr>
          <w:lang w:val="en-US"/>
        </w:rPr>
        <w:t>’</w:t>
      </w:r>
      <w:r w:rsidRPr="00EA6BD1">
        <w:rPr>
          <w:lang w:val="en-US"/>
        </w:rPr>
        <w:t xml:space="preserve"> Moscow, </w:t>
      </w:r>
      <w:r>
        <w:rPr>
          <w:lang w:val="en-US"/>
        </w:rPr>
        <w:t>Russia,</w:t>
      </w:r>
      <w:r w:rsidRPr="00EA6BD1">
        <w:rPr>
          <w:lang w:val="en-US"/>
        </w:rPr>
        <w:t xml:space="preserve"> </w:t>
      </w:r>
      <w:hyperlink r:id="rId8" w:history="1">
        <w:r w:rsidRPr="00CC6EE5">
          <w:rPr>
            <w:rStyle w:val="a7"/>
            <w:lang w:val="en-US"/>
          </w:rPr>
          <w:t>Dnestrovskiy_YN@nrcki.ru</w:t>
        </w:r>
      </w:hyperlink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EA6BD1">
        <w:rPr>
          <w:lang w:val="en-US"/>
        </w:rPr>
        <w:t xml:space="preserve">Lomonosov </w:t>
      </w:r>
      <w:r>
        <w:rPr>
          <w:lang w:val="en-US"/>
        </w:rPr>
        <w:t>MSU</w:t>
      </w:r>
      <w:r w:rsidRPr="00EA6BD1">
        <w:rPr>
          <w:lang w:val="en-US"/>
        </w:rPr>
        <w:t xml:space="preserve">, Moscow, </w:t>
      </w:r>
      <w:r>
        <w:rPr>
          <w:lang w:val="en-US"/>
        </w:rPr>
        <w:t xml:space="preserve">Russia, </w:t>
      </w:r>
      <w:hyperlink r:id="rId9" w:history="1">
        <w:r w:rsidRPr="006021D8">
          <w:rPr>
            <w:rStyle w:val="a7"/>
            <w:lang w:val="en-US"/>
          </w:rPr>
          <w:t>sychugov@cs.msu.ru</w:t>
        </w:r>
      </w:hyperlink>
    </w:p>
    <w:p w:rsidR="00DD78C5" w:rsidRDefault="00DD78C5" w:rsidP="00D835A9">
      <w:pPr>
        <w:pStyle w:val="Zv-bodyreport"/>
        <w:spacing w:line="228" w:lineRule="auto"/>
        <w:rPr>
          <w:lang w:val="en-US"/>
        </w:rPr>
      </w:pPr>
      <w:r>
        <w:rPr>
          <w:lang w:val="en-US"/>
        </w:rPr>
        <w:t>I</w:t>
      </w:r>
      <w:r w:rsidRPr="002C6838">
        <w:rPr>
          <w:lang w:val="en-US"/>
        </w:rPr>
        <w:t xml:space="preserve">n the T-10 </w:t>
      </w:r>
      <w:r w:rsidRPr="00DD78C5">
        <w:rPr>
          <w:lang w:val="en-US"/>
        </w:rPr>
        <w:t>tokamak</w:t>
      </w:r>
      <w:r w:rsidRPr="002C6838">
        <w:rPr>
          <w:lang w:val="en-US"/>
        </w:rPr>
        <w:t>, the results of plasma heating at the first and second electron</w:t>
      </w:r>
      <w:r>
        <w:rPr>
          <w:lang w:val="en-US"/>
        </w:rPr>
        <w:t xml:space="preserve"> </w:t>
      </w:r>
      <w:bookmarkStart w:id="0" w:name="_GoBack"/>
      <w:bookmarkEnd w:id="0"/>
      <w:r w:rsidRPr="002C6838">
        <w:rPr>
          <w:lang w:val="en-US"/>
        </w:rPr>
        <w:t xml:space="preserve">cyclotron (EC) harmonics </w:t>
      </w:r>
      <w:r>
        <w:rPr>
          <w:lang w:val="en-US"/>
        </w:rPr>
        <w:t>are very contrast</w:t>
      </w:r>
      <w:r w:rsidRPr="002C6838">
        <w:rPr>
          <w:lang w:val="en-US"/>
        </w:rPr>
        <w:t xml:space="preserve">. Using two transport models, the heating at both harmonics is analyzed. The standard (S) model was developed to describe heating at the first harmonic [1, 2], </w:t>
      </w:r>
      <w:r>
        <w:rPr>
          <w:lang w:val="en-US"/>
        </w:rPr>
        <w:t>while</w:t>
      </w:r>
      <w:r w:rsidRPr="002C6838">
        <w:rPr>
          <w:lang w:val="en-US"/>
        </w:rPr>
        <w:t xml:space="preserve"> the Modernized (M) model was used to describe heating at the second harmonic [3]. To analyze the heating </w:t>
      </w:r>
      <w:r>
        <w:rPr>
          <w:lang w:val="en-US"/>
        </w:rPr>
        <w:t xml:space="preserve">at the second </w:t>
      </w:r>
      <w:r w:rsidRPr="002C6838">
        <w:rPr>
          <w:lang w:val="en-US"/>
        </w:rPr>
        <w:t xml:space="preserve">harmonic </w:t>
      </w:r>
      <w:r>
        <w:rPr>
          <w:lang w:val="en-US"/>
        </w:rPr>
        <w:t>with the</w:t>
      </w:r>
      <w:r w:rsidRPr="002C6838">
        <w:rPr>
          <w:lang w:val="en-US"/>
        </w:rPr>
        <w:t xml:space="preserve"> model (S), the inverse problem of determining the absorbed power </w:t>
      </w:r>
      <w:r w:rsidRPr="00B546EC">
        <w:rPr>
          <w:i/>
          <w:lang w:val="en-US"/>
        </w:rPr>
        <w:t>Q</w:t>
      </w:r>
      <w:r w:rsidRPr="00B546EC">
        <w:rPr>
          <w:i/>
          <w:vertAlign w:val="subscript"/>
          <w:lang w:val="en-US"/>
        </w:rPr>
        <w:t>ab</w:t>
      </w:r>
      <w:r w:rsidRPr="002C6838">
        <w:rPr>
          <w:lang w:val="en-US"/>
        </w:rPr>
        <w:t xml:space="preserve"> profile from the experimental electron temperature </w:t>
      </w:r>
      <w:r w:rsidRPr="00B546EC">
        <w:rPr>
          <w:i/>
          <w:lang w:val="en-US"/>
        </w:rPr>
        <w:t>T</w:t>
      </w:r>
      <w:r w:rsidRPr="00B546EC">
        <w:rPr>
          <w:i/>
          <w:vertAlign w:val="subscript"/>
          <w:lang w:val="en-US"/>
        </w:rPr>
        <w:t>e</w:t>
      </w:r>
      <w:r w:rsidRPr="002C6838">
        <w:rPr>
          <w:lang w:val="en-US"/>
        </w:rPr>
        <w:t xml:space="preserve"> profile is solved. This </w:t>
      </w:r>
      <w:r>
        <w:rPr>
          <w:lang w:val="en-US"/>
        </w:rPr>
        <w:t>allows us</w:t>
      </w:r>
      <w:r w:rsidRPr="002C6838">
        <w:rPr>
          <w:lang w:val="en-US"/>
        </w:rPr>
        <w:t xml:space="preserve"> to determine both the absorbed power profile and the fraction of absorbed power with respect to the input power </w:t>
      </w:r>
      <w:r w:rsidRPr="00B546EC">
        <w:rPr>
          <w:i/>
          <w:lang w:val="en-US"/>
        </w:rPr>
        <w:t>Q</w:t>
      </w:r>
      <w:r w:rsidRPr="00B546EC">
        <w:rPr>
          <w:i/>
          <w:vertAlign w:val="subscript"/>
          <w:lang w:val="en-US"/>
        </w:rPr>
        <w:t>EC</w:t>
      </w:r>
      <w:r w:rsidRPr="002C6838">
        <w:rPr>
          <w:lang w:val="en-US"/>
        </w:rPr>
        <w:t xml:space="preserve">: </w:t>
      </w:r>
      <w:r w:rsidRPr="001C391A">
        <w:rPr>
          <w:rFonts w:ascii="Symbol" w:hAnsi="Symbol"/>
        </w:rPr>
        <w:t></w:t>
      </w:r>
      <w:r w:rsidRPr="00B546EC">
        <w:rPr>
          <w:vertAlign w:val="subscript"/>
          <w:lang w:val="en-US"/>
        </w:rPr>
        <w:t> </w:t>
      </w:r>
      <w:r w:rsidRPr="00B546EC">
        <w:rPr>
          <w:lang w:val="en-US"/>
        </w:rPr>
        <w:t>=</w:t>
      </w:r>
      <w:r w:rsidRPr="00B546EC">
        <w:rPr>
          <w:vertAlign w:val="subscript"/>
          <w:lang w:val="en-US"/>
        </w:rPr>
        <w:t> </w:t>
      </w:r>
      <w:r w:rsidRPr="00B546EC">
        <w:rPr>
          <w:i/>
          <w:lang w:val="en-US"/>
        </w:rPr>
        <w:t>Q</w:t>
      </w:r>
      <w:r w:rsidRPr="00B546EC">
        <w:rPr>
          <w:i/>
          <w:vertAlign w:val="subscript"/>
          <w:lang w:val="en-US"/>
        </w:rPr>
        <w:t>ab</w:t>
      </w:r>
      <w:r w:rsidRPr="00B546EC">
        <w:rPr>
          <w:lang w:val="en-US"/>
        </w:rPr>
        <w:t>/</w:t>
      </w:r>
      <w:r w:rsidRPr="00B546EC">
        <w:rPr>
          <w:i/>
          <w:lang w:val="en-US"/>
        </w:rPr>
        <w:t>Q</w:t>
      </w:r>
      <w:r w:rsidRPr="00B546EC">
        <w:rPr>
          <w:i/>
          <w:vertAlign w:val="subscript"/>
          <w:lang w:val="en-US"/>
        </w:rPr>
        <w:t>EC</w:t>
      </w:r>
      <w:r w:rsidRPr="00B546EC">
        <w:rPr>
          <w:lang w:val="en-US"/>
        </w:rPr>
        <w:t>.</w:t>
      </w:r>
      <w:r>
        <w:rPr>
          <w:lang w:val="en-US"/>
        </w:rPr>
        <w:t xml:space="preserve"> Squares in </w:t>
      </w:r>
      <w:r w:rsidRPr="00B546EC">
        <w:rPr>
          <w:lang w:val="en-US"/>
        </w:rPr>
        <w:t>Fig</w:t>
      </w:r>
      <w:r>
        <w:rPr>
          <w:lang w:val="en-US"/>
        </w:rPr>
        <w:t>.</w:t>
      </w:r>
      <w:r w:rsidRPr="00B546EC">
        <w:rPr>
          <w:lang w:val="en-US"/>
        </w:rPr>
        <w:t xml:space="preserve"> 1</w:t>
      </w:r>
      <w:r>
        <w:rPr>
          <w:lang w:val="en-US"/>
        </w:rPr>
        <w:t xml:space="preserve"> mark</w:t>
      </w:r>
      <w:r w:rsidRPr="00B546EC">
        <w:rPr>
          <w:lang w:val="en-US"/>
        </w:rPr>
        <w:t xml:space="preserve"> this fraction as a function of the chord </w:t>
      </w:r>
      <w:r>
        <w:rPr>
          <w:lang w:val="en-US"/>
        </w:rPr>
        <w:t xml:space="preserve">averaged </w:t>
      </w:r>
      <w:r w:rsidRPr="00B546EC">
        <w:rPr>
          <w:lang w:val="en-US"/>
        </w:rPr>
        <w:t>density</w:t>
      </w:r>
      <w:r w:rsidRPr="00B546EC">
        <w:rPr>
          <w:rFonts w:ascii="Symbol" w:hAnsi="Symbol"/>
          <w:lang w:val="en-US"/>
        </w:rPr>
        <w:t></w:t>
      </w:r>
      <w:r w:rsidRPr="00520FA5">
        <w:rPr>
          <w:i/>
          <w:lang w:val="en-US"/>
        </w:rPr>
        <w:t>n</w:t>
      </w:r>
      <w:r w:rsidRPr="00B546EC">
        <w:rPr>
          <w:lang w:val="en-US"/>
        </w:rPr>
        <w:t xml:space="preserve"> for </w:t>
      </w:r>
      <w:r>
        <w:rPr>
          <w:lang w:val="en-US"/>
        </w:rPr>
        <w:t>shot</w:t>
      </w:r>
      <w:r w:rsidRPr="00B546EC">
        <w:rPr>
          <w:lang w:val="en-US"/>
        </w:rPr>
        <w:t xml:space="preserve">s with heating at the second harmonic. </w:t>
      </w:r>
      <w:r>
        <w:rPr>
          <w:lang w:val="en-US"/>
        </w:rPr>
        <w:t xml:space="preserve">One </w:t>
      </w:r>
      <w:r w:rsidRPr="00B546EC">
        <w:rPr>
          <w:lang w:val="en-US"/>
        </w:rPr>
        <w:t>can see that at low densit</w:t>
      </w:r>
      <w:r>
        <w:rPr>
          <w:lang w:val="en-US"/>
        </w:rPr>
        <w:t>ies</w:t>
      </w:r>
      <w:r w:rsidRPr="00B546EC">
        <w:rPr>
          <w:lang w:val="en-US"/>
        </w:rPr>
        <w:t xml:space="preserve"> th</w:t>
      </w:r>
      <w:r>
        <w:rPr>
          <w:lang w:val="en-US"/>
        </w:rPr>
        <w:t>is</w:t>
      </w:r>
      <w:r w:rsidRPr="00B546EC">
        <w:rPr>
          <w:lang w:val="en-US"/>
        </w:rPr>
        <w:t xml:space="preserve"> fraction is small. In this case, the absorbed power profile </w:t>
      </w:r>
      <w:r>
        <w:rPr>
          <w:lang w:val="en-US"/>
        </w:rPr>
        <w:t>is</w:t>
      </w:r>
      <w:r w:rsidRPr="00B546EC">
        <w:rPr>
          <w:lang w:val="en-US"/>
        </w:rPr>
        <w:t xml:space="preserve"> much flatter than expected from </w:t>
      </w:r>
      <w:r>
        <w:rPr>
          <w:lang w:val="en-US"/>
        </w:rPr>
        <w:t xml:space="preserve">ray tracing </w:t>
      </w:r>
      <w:r w:rsidRPr="00B546EC">
        <w:rPr>
          <w:lang w:val="en-US"/>
        </w:rPr>
        <w:t xml:space="preserve">calculations </w:t>
      </w:r>
      <w:r>
        <w:rPr>
          <w:lang w:val="en-US"/>
        </w:rPr>
        <w:t xml:space="preserve">for </w:t>
      </w:r>
      <w:r w:rsidRPr="00B546EC">
        <w:rPr>
          <w:lang w:val="en-US"/>
        </w:rPr>
        <w:t>EC waves. At high densit</w:t>
      </w:r>
      <w:r>
        <w:rPr>
          <w:lang w:val="en-US"/>
        </w:rPr>
        <w:t>ies</w:t>
      </w:r>
      <w:r w:rsidRPr="00B546EC">
        <w:rPr>
          <w:lang w:val="en-US"/>
        </w:rPr>
        <w:t xml:space="preserve">, we have </w:t>
      </w:r>
      <w:r w:rsidRPr="001C391A">
        <w:rPr>
          <w:rFonts w:ascii="Symbol" w:hAnsi="Symbol"/>
          <w:lang w:val="en-US"/>
        </w:rPr>
        <w:t></w:t>
      </w:r>
      <w:r w:rsidRPr="00520FA5">
        <w:rPr>
          <w:vertAlign w:val="subscript"/>
          <w:lang w:val="en-US"/>
        </w:rPr>
        <w:t> </w:t>
      </w:r>
      <w:r>
        <w:rPr>
          <w:lang w:val="en-US"/>
        </w:rPr>
        <w:t>~</w:t>
      </w:r>
      <w:r w:rsidRPr="00520FA5">
        <w:rPr>
          <w:vertAlign w:val="subscript"/>
          <w:lang w:val="en-US"/>
        </w:rPr>
        <w:t> </w:t>
      </w:r>
      <w:r w:rsidRPr="00B546EC">
        <w:rPr>
          <w:lang w:val="en-US"/>
        </w:rPr>
        <w:t xml:space="preserve">1. For </w:t>
      </w:r>
      <w:r>
        <w:rPr>
          <w:lang w:val="en-US"/>
        </w:rPr>
        <w:t>shot</w:t>
      </w:r>
      <w:r w:rsidRPr="00B546EC">
        <w:rPr>
          <w:lang w:val="en-US"/>
        </w:rPr>
        <w:t>s with heating at the first harmonic (circles in Fig. 1)</w:t>
      </w:r>
      <w:r>
        <w:rPr>
          <w:lang w:val="en-US"/>
        </w:rPr>
        <w:t xml:space="preserve">, </w:t>
      </w:r>
      <w:r w:rsidRPr="00C003A1">
        <w:rPr>
          <w:rFonts w:ascii="Symbol" w:hAnsi="Symbol"/>
        </w:rPr>
        <w:t></w:t>
      </w:r>
      <w:r w:rsidRPr="00520FA5">
        <w:rPr>
          <w:vertAlign w:val="subscript"/>
          <w:lang w:val="en-US"/>
        </w:rPr>
        <w:t> </w:t>
      </w:r>
      <w:r w:rsidRPr="00520FA5">
        <w:rPr>
          <w:lang w:val="en-US"/>
        </w:rPr>
        <w:t>=</w:t>
      </w:r>
      <w:r w:rsidRPr="00520FA5">
        <w:rPr>
          <w:vertAlign w:val="subscript"/>
          <w:lang w:val="en-US"/>
        </w:rPr>
        <w:t> </w:t>
      </w:r>
      <w:r w:rsidRPr="00520FA5">
        <w:rPr>
          <w:lang w:val="en-US"/>
        </w:rPr>
        <w:t>1.</w:t>
      </w:r>
      <w:r>
        <w:rPr>
          <w:lang w:val="en-US"/>
        </w:rPr>
        <w:t xml:space="preserve"> </w:t>
      </w:r>
      <w:r w:rsidRPr="001334AB">
        <w:rPr>
          <w:lang w:val="en-US"/>
        </w:rPr>
        <w:t>It is known that the optical plasma thickness (</w:t>
      </w:r>
      <w:r>
        <w:rPr>
          <w:lang w:val="en-US"/>
        </w:rPr>
        <w:t>‘</w:t>
      </w:r>
      <w:r w:rsidRPr="001334AB">
        <w:rPr>
          <w:lang w:val="en-US"/>
        </w:rPr>
        <w:t>grayness</w:t>
      </w:r>
      <w:r>
        <w:rPr>
          <w:lang w:val="en-US"/>
        </w:rPr>
        <w:t>’</w:t>
      </w:r>
      <w:r w:rsidRPr="001334AB">
        <w:rPr>
          <w:lang w:val="en-US"/>
        </w:rPr>
        <w:t>) is proportional to</w:t>
      </w:r>
      <w:r w:rsidRPr="002077C8">
        <w:rPr>
          <w:i/>
          <w:lang w:val="en-US"/>
        </w:rPr>
        <w:t xml:space="preserve"> n T</w:t>
      </w:r>
      <w:r w:rsidRPr="002077C8">
        <w:rPr>
          <w:i/>
          <w:vertAlign w:val="subscript"/>
          <w:lang w:val="en-US"/>
        </w:rPr>
        <w:t>e</w:t>
      </w:r>
      <w:r w:rsidRPr="002077C8">
        <w:rPr>
          <w:lang w:val="en-US"/>
        </w:rPr>
        <w:t>.</w:t>
      </w:r>
      <w:r w:rsidRPr="001334AB">
        <w:rPr>
          <w:lang w:val="en-US"/>
        </w:rPr>
        <w:t xml:space="preserve"> Figure 2 shows the experimental dependence </w:t>
      </w:r>
      <w:r>
        <w:rPr>
          <w:lang w:val="en-US"/>
        </w:rPr>
        <w:t>for</w:t>
      </w:r>
      <w:r w:rsidRPr="001334AB">
        <w:rPr>
          <w:lang w:val="en-US"/>
        </w:rPr>
        <w:t xml:space="preserve"> </w:t>
      </w:r>
      <w:r w:rsidRPr="001334AB">
        <w:rPr>
          <w:i/>
          <w:lang w:val="en-US"/>
        </w:rPr>
        <w:t>p</w:t>
      </w:r>
      <w:r w:rsidRPr="001334AB">
        <w:rPr>
          <w:i/>
          <w:vertAlign w:val="subscript"/>
          <w:lang w:val="en-US"/>
        </w:rPr>
        <w:t>e</w:t>
      </w:r>
      <w:r w:rsidRPr="001C391A">
        <w:rPr>
          <w:vertAlign w:val="subscript"/>
          <w:lang w:val="en-US"/>
        </w:rPr>
        <w:t>0 </w:t>
      </w:r>
      <w:r w:rsidRPr="001334AB">
        <w:rPr>
          <w:lang w:val="en-US"/>
        </w:rPr>
        <w:t>=</w:t>
      </w:r>
      <w:r w:rsidRPr="00D8038D">
        <w:rPr>
          <w:vertAlign w:val="subscript"/>
          <w:lang w:val="en-US"/>
        </w:rPr>
        <w:t> </w:t>
      </w:r>
      <w:r w:rsidRPr="001334AB">
        <w:rPr>
          <w:i/>
          <w:lang w:val="en-US"/>
        </w:rPr>
        <w:t>n</w:t>
      </w:r>
      <w:r w:rsidRPr="001C391A">
        <w:rPr>
          <w:vertAlign w:val="subscript"/>
          <w:lang w:val="en-US"/>
        </w:rPr>
        <w:t>0</w:t>
      </w:r>
      <w:r>
        <w:rPr>
          <w:lang w:val="en-US"/>
        </w:rPr>
        <w:t> </w:t>
      </w:r>
      <w:r w:rsidRPr="001334AB">
        <w:rPr>
          <w:i/>
          <w:lang w:val="en-US"/>
        </w:rPr>
        <w:t>T</w:t>
      </w:r>
      <w:r w:rsidRPr="00D8038D">
        <w:rPr>
          <w:i/>
          <w:vertAlign w:val="subscript"/>
          <w:lang w:val="en-US"/>
        </w:rPr>
        <w:t>e</w:t>
      </w:r>
      <w:r w:rsidRPr="001C391A">
        <w:rPr>
          <w:vertAlign w:val="subscript"/>
          <w:lang w:val="en-US"/>
        </w:rPr>
        <w:t>0</w:t>
      </w:r>
      <w:r>
        <w:rPr>
          <w:lang w:val="en-US"/>
        </w:rPr>
        <w:t>, where</w:t>
      </w:r>
      <w:r w:rsidRPr="001334AB">
        <w:rPr>
          <w:lang w:val="en-US"/>
        </w:rPr>
        <w:t xml:space="preserve"> </w:t>
      </w:r>
      <w:r w:rsidRPr="001334AB">
        <w:rPr>
          <w:i/>
          <w:lang w:val="en-US"/>
        </w:rPr>
        <w:t>n</w:t>
      </w:r>
      <w:r w:rsidRPr="001334AB">
        <w:rPr>
          <w:vertAlign w:val="subscript"/>
          <w:lang w:val="en-US"/>
        </w:rPr>
        <w:t>0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and </w:t>
      </w:r>
      <w:r w:rsidRPr="001334AB">
        <w:rPr>
          <w:i/>
          <w:lang w:val="en-US"/>
        </w:rPr>
        <w:t>T</w:t>
      </w:r>
      <w:r w:rsidRPr="00D8038D">
        <w:rPr>
          <w:i/>
          <w:vertAlign w:val="subscript"/>
          <w:lang w:val="en-US"/>
        </w:rPr>
        <w:t>e</w:t>
      </w:r>
      <w:r w:rsidRPr="00D8038D">
        <w:rPr>
          <w:vertAlign w:val="subscript"/>
          <w:lang w:val="en-US"/>
        </w:rPr>
        <w:t>0</w:t>
      </w:r>
      <w:r w:rsidRPr="00D8038D">
        <w:rPr>
          <w:lang w:val="en-US"/>
        </w:rPr>
        <w:t xml:space="preserve"> </w:t>
      </w:r>
      <w:r>
        <w:rPr>
          <w:lang w:val="en-US"/>
        </w:rPr>
        <w:t xml:space="preserve">correspond to </w:t>
      </w:r>
      <w:r w:rsidRPr="001334AB">
        <w:rPr>
          <w:lang w:val="en-US"/>
        </w:rPr>
        <w:t xml:space="preserve">the </w:t>
      </w:r>
      <w:r>
        <w:rPr>
          <w:lang w:val="en-US"/>
        </w:rPr>
        <w:t xml:space="preserve">central </w:t>
      </w:r>
      <w:r w:rsidRPr="001334AB">
        <w:rPr>
          <w:lang w:val="en-US"/>
        </w:rPr>
        <w:t xml:space="preserve">density </w:t>
      </w:r>
      <w:r>
        <w:rPr>
          <w:lang w:val="en-US"/>
        </w:rPr>
        <w:t>and</w:t>
      </w:r>
      <w:r w:rsidRPr="001334AB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1334AB">
        <w:rPr>
          <w:lang w:val="en-US"/>
        </w:rPr>
        <w:t>electron temperature</w:t>
      </w:r>
      <w:r>
        <w:rPr>
          <w:lang w:val="en-US"/>
        </w:rPr>
        <w:t>,</w:t>
      </w:r>
      <w:r w:rsidRPr="001334AB">
        <w:rPr>
          <w:lang w:val="en-US"/>
        </w:rPr>
        <w:t xml:space="preserve"> on the chord </w:t>
      </w:r>
      <w:r>
        <w:rPr>
          <w:lang w:val="en-US"/>
        </w:rPr>
        <w:t>averaged</w:t>
      </w:r>
      <w:r w:rsidRPr="001334AB">
        <w:rPr>
          <w:lang w:val="en-US"/>
        </w:rPr>
        <w:t xml:space="preserve"> density</w:t>
      </w:r>
      <w:r>
        <w:rPr>
          <w:lang w:val="en-US"/>
        </w:rPr>
        <w:sym w:font="Symbol" w:char="F060"/>
      </w:r>
      <w:r w:rsidRPr="002077C8">
        <w:rPr>
          <w:i/>
          <w:lang w:val="en-US"/>
        </w:rPr>
        <w:t>n</w:t>
      </w:r>
      <w:r w:rsidRPr="001334AB">
        <w:rPr>
          <w:lang w:val="en-US"/>
        </w:rPr>
        <w:t xml:space="preserve"> for </w:t>
      </w:r>
      <w:r>
        <w:rPr>
          <w:lang w:val="en-US"/>
        </w:rPr>
        <w:t>shot</w:t>
      </w:r>
      <w:r w:rsidRPr="001334AB">
        <w:rPr>
          <w:lang w:val="en-US"/>
        </w:rPr>
        <w:t xml:space="preserve">s with heating at the first (circles) and second (squares) harmonics. The horizontal line at </w:t>
      </w:r>
      <w:r w:rsidRPr="001C391A">
        <w:rPr>
          <w:i/>
          <w:lang w:val="en-US"/>
        </w:rPr>
        <w:t>n</w:t>
      </w:r>
      <w:r w:rsidRPr="001C391A">
        <w:rPr>
          <w:vertAlign w:val="subscript"/>
          <w:lang w:val="en-US"/>
        </w:rPr>
        <w:t>0 </w:t>
      </w:r>
      <w:r w:rsidRPr="001C391A">
        <w:rPr>
          <w:i/>
          <w:lang w:val="en-US"/>
        </w:rPr>
        <w:t>T</w:t>
      </w:r>
      <w:r w:rsidRPr="001C391A">
        <w:rPr>
          <w:i/>
          <w:vertAlign w:val="subscript"/>
          <w:lang w:val="en-US"/>
        </w:rPr>
        <w:t>e</w:t>
      </w:r>
      <w:r w:rsidRPr="001C391A">
        <w:rPr>
          <w:vertAlign w:val="subscript"/>
          <w:lang w:val="en-US"/>
        </w:rPr>
        <w:t>0 </w:t>
      </w:r>
      <w:r w:rsidRPr="001C391A">
        <w:rPr>
          <w:lang w:val="en-US"/>
        </w:rPr>
        <w:t>=</w:t>
      </w:r>
      <w:r w:rsidRPr="001C391A">
        <w:rPr>
          <w:vertAlign w:val="subscript"/>
          <w:lang w:val="en-US"/>
        </w:rPr>
        <w:t> </w:t>
      </w:r>
      <w:r w:rsidRPr="001C391A">
        <w:rPr>
          <w:lang w:val="en-US"/>
        </w:rPr>
        <w:t xml:space="preserve">10 </w:t>
      </w:r>
      <w:r w:rsidRPr="001334AB">
        <w:rPr>
          <w:lang w:val="en-US"/>
        </w:rPr>
        <w:t xml:space="preserve">divides the </w:t>
      </w:r>
      <w:r>
        <w:rPr>
          <w:lang w:val="en-US"/>
        </w:rPr>
        <w:t>shot</w:t>
      </w:r>
      <w:r w:rsidRPr="001334AB">
        <w:rPr>
          <w:lang w:val="en-US"/>
        </w:rPr>
        <w:t xml:space="preserve">s with heating at the second harmonic into two groups. </w:t>
      </w:r>
      <w:r>
        <w:rPr>
          <w:lang w:val="en-US"/>
        </w:rPr>
        <w:t>We</w:t>
      </w:r>
      <w:r w:rsidRPr="001334AB">
        <w:rPr>
          <w:lang w:val="en-US"/>
        </w:rPr>
        <w:t xml:space="preserve"> see that the </w:t>
      </w:r>
      <w:r>
        <w:rPr>
          <w:lang w:val="en-US"/>
        </w:rPr>
        <w:t>shot</w:t>
      </w:r>
      <w:r w:rsidRPr="001334AB">
        <w:rPr>
          <w:lang w:val="en-US"/>
        </w:rPr>
        <w:t xml:space="preserve">s lying above this line </w:t>
      </w:r>
      <w:r>
        <w:rPr>
          <w:lang w:val="en-US"/>
        </w:rPr>
        <w:t xml:space="preserve">totally </w:t>
      </w:r>
      <w:r w:rsidRPr="001334AB">
        <w:rPr>
          <w:lang w:val="en-US"/>
        </w:rPr>
        <w:t xml:space="preserve">absorb the </w:t>
      </w:r>
      <w:r>
        <w:rPr>
          <w:lang w:val="en-US"/>
        </w:rPr>
        <w:t xml:space="preserve">input </w:t>
      </w:r>
      <w:r w:rsidRPr="001334AB">
        <w:rPr>
          <w:lang w:val="en-US"/>
        </w:rPr>
        <w:t>power: for them</w:t>
      </w:r>
      <w:r>
        <w:rPr>
          <w:lang w:val="en-US"/>
        </w:rPr>
        <w:t xml:space="preserve"> </w:t>
      </w:r>
      <w:r w:rsidRPr="00C003A1">
        <w:rPr>
          <w:rFonts w:ascii="Symbol" w:hAnsi="Symbol"/>
        </w:rPr>
        <w:sym w:font="Symbol" w:char="F068"/>
      </w:r>
      <w:r w:rsidRPr="00842E20">
        <w:rPr>
          <w:vertAlign w:val="subscript"/>
          <w:lang w:val="en-US"/>
        </w:rPr>
        <w:t> </w:t>
      </w:r>
      <w:r w:rsidRPr="00C003A1">
        <w:rPr>
          <w:lang w:val="en-US"/>
        </w:rPr>
        <w:t>=</w:t>
      </w:r>
      <w:r w:rsidRPr="00842E20">
        <w:rPr>
          <w:vertAlign w:val="subscript"/>
          <w:lang w:val="en-US"/>
        </w:rPr>
        <w:t> </w:t>
      </w:r>
      <w:r w:rsidRPr="00C003A1">
        <w:rPr>
          <w:lang w:val="en-US"/>
        </w:rPr>
        <w:t>1.</w:t>
      </w:r>
      <w:r>
        <w:rPr>
          <w:lang w:val="en-US"/>
        </w:rPr>
        <w:t xml:space="preserve"> Shots</w:t>
      </w:r>
      <w:r w:rsidRPr="00842E20">
        <w:rPr>
          <w:lang w:val="en-US"/>
        </w:rPr>
        <w:t xml:space="preserve"> lying below th</w:t>
      </w:r>
      <w:r>
        <w:rPr>
          <w:lang w:val="en-US"/>
        </w:rPr>
        <w:t xml:space="preserve">is </w:t>
      </w:r>
      <w:r w:rsidRPr="00842E20">
        <w:rPr>
          <w:lang w:val="en-US"/>
        </w:rPr>
        <w:t>line only part</w:t>
      </w:r>
      <w:r>
        <w:rPr>
          <w:lang w:val="en-US"/>
        </w:rPr>
        <w:t>ly</w:t>
      </w:r>
      <w:r w:rsidRPr="00842E20">
        <w:rPr>
          <w:lang w:val="en-US"/>
        </w:rPr>
        <w:t xml:space="preserve"> absorb the </w:t>
      </w:r>
      <w:r>
        <w:rPr>
          <w:lang w:val="en-US"/>
        </w:rPr>
        <w:t xml:space="preserve">input </w:t>
      </w:r>
      <w:r w:rsidRPr="00842E20">
        <w:rPr>
          <w:lang w:val="en-US"/>
        </w:rPr>
        <w:t xml:space="preserve">power: for them </w:t>
      </w:r>
      <w:r w:rsidRPr="00842E20">
        <w:rPr>
          <w:rFonts w:ascii="Symbol" w:hAnsi="Symbol"/>
          <w:lang w:val="en-US"/>
        </w:rPr>
        <w:t></w:t>
      </w:r>
      <w:r w:rsidRPr="00842E20">
        <w:rPr>
          <w:vertAlign w:val="subscript"/>
          <w:lang w:val="en-US"/>
        </w:rPr>
        <w:t> </w:t>
      </w:r>
      <w:r w:rsidRPr="00842E20">
        <w:rPr>
          <w:lang w:val="en-US"/>
        </w:rPr>
        <w:t>&lt;</w:t>
      </w:r>
      <w:r w:rsidRPr="00842E20">
        <w:rPr>
          <w:vertAlign w:val="subscript"/>
          <w:lang w:val="en-US"/>
        </w:rPr>
        <w:t> </w:t>
      </w:r>
      <w:r w:rsidRPr="00842E20">
        <w:rPr>
          <w:lang w:val="en-US"/>
        </w:rPr>
        <w:t>1. So, for</w:t>
      </w:r>
      <w:r>
        <w:rPr>
          <w:lang w:val="en-US"/>
        </w:rPr>
        <w:sym w:font="Symbol" w:char="F060"/>
      </w:r>
      <w:r w:rsidRPr="002077C8">
        <w:rPr>
          <w:i/>
          <w:lang w:val="en-US"/>
        </w:rPr>
        <w:t>n</w:t>
      </w:r>
      <w:r w:rsidRPr="00842E20">
        <w:rPr>
          <w:lang w:val="en-US"/>
        </w:rPr>
        <w:t xml:space="preserve"> &lt;</w:t>
      </w:r>
      <w:r w:rsidRPr="002077C8">
        <w:rPr>
          <w:vertAlign w:val="subscript"/>
          <w:lang w:val="en-US"/>
        </w:rPr>
        <w:t> </w:t>
      </w:r>
      <w:r w:rsidRPr="00842E20">
        <w:rPr>
          <w:lang w:val="en-US"/>
        </w:rPr>
        <w:t>3 (in 10</w:t>
      </w:r>
      <w:r w:rsidRPr="00842E20">
        <w:rPr>
          <w:vertAlign w:val="superscript"/>
          <w:lang w:val="en-US"/>
        </w:rPr>
        <w:t>19</w:t>
      </w:r>
      <w:r w:rsidRPr="00842E20">
        <w:rPr>
          <w:lang w:val="en-US"/>
        </w:rPr>
        <w:t xml:space="preserve"> m</w:t>
      </w:r>
      <w:r w:rsidRPr="00842E20">
        <w:rPr>
          <w:vertAlign w:val="superscript"/>
          <w:lang w:val="en-US"/>
        </w:rPr>
        <w:t>-3</w:t>
      </w:r>
      <w:r w:rsidRPr="00842E20">
        <w:rPr>
          <w:lang w:val="en-US"/>
        </w:rPr>
        <w:t>), heating at the first harmonic is radically differ</w:t>
      </w:r>
      <w:r>
        <w:rPr>
          <w:lang w:val="en-US"/>
        </w:rPr>
        <w:t>s</w:t>
      </w:r>
      <w:r w:rsidRPr="00842E20">
        <w:rPr>
          <w:lang w:val="en-US"/>
        </w:rPr>
        <w:t xml:space="preserve"> from heating at the second harmonic. When </w:t>
      </w:r>
      <w:r>
        <w:rPr>
          <w:lang w:val="en-US"/>
        </w:rPr>
        <w:sym w:font="Symbol" w:char="F060"/>
      </w:r>
      <w:r w:rsidRPr="002077C8">
        <w:rPr>
          <w:i/>
          <w:lang w:val="en-US"/>
        </w:rPr>
        <w:t>n</w:t>
      </w:r>
      <w:r w:rsidRPr="002077C8">
        <w:rPr>
          <w:vertAlign w:val="subscript"/>
          <w:lang w:val="en-US"/>
        </w:rPr>
        <w:t> </w:t>
      </w:r>
      <w:r w:rsidRPr="00842E20">
        <w:rPr>
          <w:lang w:val="en-US"/>
        </w:rPr>
        <w:t>&gt;</w:t>
      </w:r>
      <w:r w:rsidRPr="002077C8">
        <w:rPr>
          <w:vertAlign w:val="subscript"/>
          <w:lang w:val="en-US"/>
        </w:rPr>
        <w:t> </w:t>
      </w:r>
      <w:r w:rsidRPr="00842E20">
        <w:rPr>
          <w:lang w:val="en-US"/>
        </w:rPr>
        <w:t>4, a cut</w:t>
      </w:r>
      <w:r>
        <w:rPr>
          <w:lang w:val="en-US"/>
        </w:rPr>
        <w:t>-</w:t>
      </w:r>
      <w:r w:rsidRPr="00842E20">
        <w:rPr>
          <w:lang w:val="en-US"/>
        </w:rPr>
        <w:t>off occurs for the first harmonic. In the region 3</w:t>
      </w:r>
      <w:r w:rsidRPr="002077C8">
        <w:rPr>
          <w:vertAlign w:val="subscript"/>
          <w:lang w:val="en-US"/>
        </w:rPr>
        <w:t> </w:t>
      </w:r>
      <w:r w:rsidRPr="00842E20">
        <w:rPr>
          <w:lang w:val="en-US"/>
        </w:rPr>
        <w:t>&lt;</w:t>
      </w:r>
      <w:r w:rsidRPr="00842E20">
        <w:rPr>
          <w:rFonts w:ascii="Symbol" w:hAnsi="Symbol"/>
          <w:lang w:val="en-US"/>
        </w:rPr>
        <w:t></w:t>
      </w:r>
      <w:r w:rsidRPr="00842E20">
        <w:rPr>
          <w:i/>
          <w:lang w:val="en-US"/>
        </w:rPr>
        <w:t>n</w:t>
      </w:r>
      <w:r w:rsidRPr="002077C8">
        <w:rPr>
          <w:vertAlign w:val="subscript"/>
          <w:lang w:val="en-US"/>
        </w:rPr>
        <w:t> </w:t>
      </w:r>
      <w:r w:rsidRPr="00842E20">
        <w:rPr>
          <w:lang w:val="en-US"/>
        </w:rPr>
        <w:t>&lt;</w:t>
      </w:r>
      <w:r w:rsidRPr="00842E20">
        <w:rPr>
          <w:vertAlign w:val="subscript"/>
          <w:lang w:val="en-US"/>
        </w:rPr>
        <w:t> </w:t>
      </w:r>
      <w:r w:rsidRPr="00842E20">
        <w:rPr>
          <w:lang w:val="en-US"/>
        </w:rPr>
        <w:t>4, the results of experiments with heating at the first and second harmonics may be close</w:t>
      </w:r>
      <w:r>
        <w:rPr>
          <w:lang w:val="en-US"/>
        </w:rPr>
        <w:t xml:space="preserve"> to each other</w:t>
      </w:r>
      <w:r w:rsidRPr="00842E20">
        <w:rPr>
          <w:lang w:val="en-US"/>
        </w:rPr>
        <w:t>.</w:t>
      </w:r>
    </w:p>
    <w:p w:rsidR="00DD78C5" w:rsidRPr="00CA14F1" w:rsidRDefault="00313B7F" w:rsidP="00D835A9">
      <w:pPr>
        <w:pStyle w:val="Zv-bodyreport"/>
        <w:spacing w:line="228" w:lineRule="auto"/>
        <w:rPr>
          <w:lang w:val="en-US"/>
        </w:rPr>
      </w:pPr>
      <w:r>
        <w:rPr>
          <w:noProof/>
        </w:rPr>
        <w:pict>
          <v:shape id="_x0000_s1026" type="#_x0000_t202" style="position:absolute;left:0;text-align:left;margin-left:114.3pt;margin-top:194.6pt;width:238.5pt;height:21pt;z-index:-251657728;mso-height-percent:200;mso-height-percent:200;mso-width-relative:margin;mso-height-relative:margin" filled="f" stroked="f">
            <v:textbox style="mso-fit-shape-to-text:t">
              <w:txbxContent>
                <w:p w:rsidR="00DD78C5" w:rsidRDefault="00DD78C5" w:rsidP="00DD78C5">
                  <w:pPr>
                    <w:tabs>
                      <w:tab w:val="left" w:pos="3544"/>
                    </w:tabs>
                  </w:pPr>
                  <w:r>
                    <w:rPr>
                      <w:lang w:val="en-US"/>
                    </w:rPr>
                    <w:t>Fig.</w:t>
                  </w:r>
                  <w:r>
                    <w:t xml:space="preserve"> 1.</w:t>
                  </w:r>
                  <w:r>
                    <w:tab/>
                  </w:r>
                  <w:r>
                    <w:rPr>
                      <w:lang w:val="en-US"/>
                    </w:rPr>
                    <w:t>Fig.</w:t>
                  </w:r>
                  <w:r>
                    <w:t xml:space="preserve"> 2.</w:t>
                  </w:r>
                </w:p>
              </w:txbxContent>
            </v:textbox>
            <w10:anchorlock/>
          </v:shape>
        </w:pict>
      </w:r>
      <w:r w:rsidR="00DD78C5">
        <w:rPr>
          <w:noProof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356870</wp:posOffset>
            </wp:positionV>
            <wp:extent cx="2790825" cy="2076450"/>
            <wp:effectExtent l="19050" t="0" r="9525" b="0"/>
            <wp:wrapTopAndBottom/>
            <wp:docPr id="5" name="Рисунок 4" descr="fig2eZ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eZv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C5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242570</wp:posOffset>
            </wp:positionV>
            <wp:extent cx="3009900" cy="2190750"/>
            <wp:effectExtent l="19050" t="0" r="0" b="0"/>
            <wp:wrapTopAndBottom/>
            <wp:docPr id="4" name="Рисунок 3" descr="fig1eZ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eZv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8C5">
        <w:rPr>
          <w:lang w:val="en-US"/>
        </w:rPr>
        <w:t xml:space="preserve">The work is supported by RFBR grant </w:t>
      </w:r>
      <w:r w:rsidR="00DD78C5" w:rsidRPr="00DD78C5">
        <w:rPr>
          <w:lang w:val="en-US"/>
        </w:rPr>
        <w:t>20-07-00391</w:t>
      </w:r>
      <w:r w:rsidR="00DD78C5">
        <w:rPr>
          <w:lang w:val="en-US"/>
        </w:rPr>
        <w:t>.</w:t>
      </w:r>
    </w:p>
    <w:p w:rsidR="00DD78C5" w:rsidRPr="00DD78C5" w:rsidRDefault="00DD78C5" w:rsidP="00D835A9">
      <w:pPr>
        <w:pStyle w:val="Zv-TitleReferences-en"/>
        <w:spacing w:before="480" w:line="228" w:lineRule="auto"/>
        <w:rPr>
          <w:lang w:val="en-US"/>
        </w:rPr>
      </w:pPr>
      <w:r w:rsidRPr="00DD78C5">
        <w:rPr>
          <w:lang w:val="en-US"/>
        </w:rPr>
        <w:t>References</w:t>
      </w:r>
    </w:p>
    <w:p w:rsidR="00DD78C5" w:rsidRPr="00AA4EC4" w:rsidRDefault="00DD78C5" w:rsidP="00D835A9">
      <w:pPr>
        <w:pStyle w:val="Zv-References-en"/>
        <w:spacing w:line="228" w:lineRule="auto"/>
      </w:pPr>
      <w:r>
        <w:t>Alikaev V</w:t>
      </w:r>
      <w:r w:rsidRPr="00EA6BD1">
        <w:t>.</w:t>
      </w:r>
      <w:r>
        <w:t>V</w:t>
      </w:r>
      <w:r w:rsidRPr="00EA6BD1">
        <w:t xml:space="preserve">., </w:t>
      </w:r>
      <w:r w:rsidRPr="00320262">
        <w:t>et al</w:t>
      </w:r>
      <w:r w:rsidRPr="00EA6BD1">
        <w:t xml:space="preserve">. </w:t>
      </w:r>
      <w:r>
        <w:t>Sov. J. Plasma Phys. Rep</w:t>
      </w:r>
      <w:r w:rsidRPr="00EA6BD1">
        <w:t xml:space="preserve">. </w:t>
      </w:r>
      <w:r w:rsidRPr="00AA4EC4">
        <w:t xml:space="preserve">1988. </w:t>
      </w:r>
      <w:r>
        <w:t>V</w:t>
      </w:r>
      <w:r w:rsidRPr="00AA4EC4">
        <w:t xml:space="preserve">. 14. </w:t>
      </w:r>
      <w:r>
        <w:t>P. 6</w:t>
      </w:r>
      <w:r w:rsidRPr="00AA4EC4">
        <w:t>0</w:t>
      </w:r>
      <w:r>
        <w:t>1</w:t>
      </w:r>
    </w:p>
    <w:p w:rsidR="00DD78C5" w:rsidRPr="00320262" w:rsidRDefault="00DD78C5" w:rsidP="00D835A9">
      <w:pPr>
        <w:pStyle w:val="Zv-References-en"/>
        <w:spacing w:line="228" w:lineRule="auto"/>
      </w:pPr>
      <w:r w:rsidRPr="00320262">
        <w:t>Dnestrovskij Yu.N., et al</w:t>
      </w:r>
      <w:r w:rsidRPr="00EA6BD1">
        <w:t>.</w:t>
      </w:r>
      <w:r w:rsidRPr="00320262">
        <w:t xml:space="preserve"> Plasma Phys. Control</w:t>
      </w:r>
      <w:r w:rsidRPr="00EA6BD1">
        <w:t xml:space="preserve">. </w:t>
      </w:r>
      <w:r w:rsidRPr="00320262">
        <w:t>Fusion</w:t>
      </w:r>
      <w:r w:rsidRPr="00EA6BD1">
        <w:t xml:space="preserve">. 2007. </w:t>
      </w:r>
      <w:r w:rsidRPr="00320262">
        <w:t>V</w:t>
      </w:r>
      <w:r w:rsidRPr="00EA6BD1">
        <w:t xml:space="preserve">. 49. </w:t>
      </w:r>
      <w:r w:rsidRPr="00320262">
        <w:t>P. 1477</w:t>
      </w:r>
    </w:p>
    <w:p w:rsidR="00DD78C5" w:rsidRPr="00EA6BD1" w:rsidRDefault="00DD78C5" w:rsidP="00D835A9">
      <w:pPr>
        <w:pStyle w:val="Zv-References-en"/>
        <w:spacing w:line="228" w:lineRule="auto"/>
      </w:pPr>
      <w:r w:rsidRPr="00AA4EC4">
        <w:t xml:space="preserve"> </w:t>
      </w:r>
      <w:r w:rsidRPr="00320262">
        <w:t>Dnestrovskij Yu.N</w:t>
      </w:r>
      <w:r w:rsidRPr="00EA6BD1">
        <w:t xml:space="preserve">., </w:t>
      </w:r>
      <w:r w:rsidRPr="00320262">
        <w:t>et al</w:t>
      </w:r>
      <w:r w:rsidRPr="00EA6BD1">
        <w:t xml:space="preserve">. </w:t>
      </w:r>
      <w:r>
        <w:t>Plasma Phys. Rep</w:t>
      </w:r>
      <w:r w:rsidRPr="00EA6BD1">
        <w:t xml:space="preserve">. 2019. </w:t>
      </w:r>
      <w:r>
        <w:t>V</w:t>
      </w:r>
      <w:r w:rsidRPr="00EA6BD1">
        <w:t xml:space="preserve">. 45. </w:t>
      </w:r>
      <w:r>
        <w:t>P</w:t>
      </w:r>
      <w:r w:rsidRPr="00EA6BD1">
        <w:t>. 2</w:t>
      </w:r>
      <w:r>
        <w:t>07</w:t>
      </w:r>
    </w:p>
    <w:sectPr w:rsidR="00DD78C5" w:rsidRPr="00EA6BD1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972" w:rsidRDefault="00EA6972">
      <w:r>
        <w:separator/>
      </w:r>
    </w:p>
  </w:endnote>
  <w:endnote w:type="continuationSeparator" w:id="0">
    <w:p w:rsidR="00EA6972" w:rsidRDefault="00EA6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3B7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3B7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35A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972" w:rsidRDefault="00EA6972">
      <w:r>
        <w:separator/>
      </w:r>
    </w:p>
  </w:footnote>
  <w:footnote w:type="continuationSeparator" w:id="0">
    <w:p w:rsidR="00EA6972" w:rsidRDefault="00EA6972">
      <w:r>
        <w:continuationSeparator/>
      </w:r>
    </w:p>
  </w:footnote>
  <w:footnote w:id="1">
    <w:p w:rsidR="00D835A9" w:rsidRPr="00D835A9" w:rsidRDefault="00D835A9">
      <w:pPr>
        <w:pStyle w:val="aa"/>
        <w:rPr>
          <w:sz w:val="22"/>
          <w:szCs w:val="22"/>
          <w:lang w:val="en-US"/>
        </w:rPr>
      </w:pPr>
      <w:r w:rsidRPr="00D835A9">
        <w:rPr>
          <w:rStyle w:val="ac"/>
          <w:sz w:val="22"/>
          <w:szCs w:val="22"/>
          <w:lang w:val="en-US"/>
        </w:rPr>
        <w:t>*)</w:t>
      </w:r>
      <w:r w:rsidRPr="00D835A9">
        <w:rPr>
          <w:sz w:val="22"/>
          <w:szCs w:val="22"/>
          <w:lang w:val="en-US"/>
        </w:rPr>
        <w:t xml:space="preserve">  </w:t>
      </w:r>
      <w:hyperlink r:id="rId1" w:history="1">
        <w:r w:rsidRPr="00D835A9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313B7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6972"/>
    <w:rsid w:val="00043701"/>
    <w:rsid w:val="000C657D"/>
    <w:rsid w:val="000C7078"/>
    <w:rsid w:val="000D76E9"/>
    <w:rsid w:val="000E1CC1"/>
    <w:rsid w:val="000E495B"/>
    <w:rsid w:val="001C0CCB"/>
    <w:rsid w:val="00205708"/>
    <w:rsid w:val="00220629"/>
    <w:rsid w:val="0023083F"/>
    <w:rsid w:val="00247225"/>
    <w:rsid w:val="00313B7F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835A9"/>
    <w:rsid w:val="00D900FB"/>
    <w:rsid w:val="00D92E54"/>
    <w:rsid w:val="00DD78C5"/>
    <w:rsid w:val="00E118BE"/>
    <w:rsid w:val="00E7021A"/>
    <w:rsid w:val="00E87733"/>
    <w:rsid w:val="00EA6972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DD78C5"/>
    <w:rPr>
      <w:color w:val="0000FF" w:themeColor="hyperlink"/>
      <w:u w:val="single"/>
    </w:rPr>
  </w:style>
  <w:style w:type="paragraph" w:customStyle="1" w:styleId="References">
    <w:name w:val="References"/>
    <w:basedOn w:val="a"/>
    <w:rsid w:val="00DD78C5"/>
    <w:pPr>
      <w:numPr>
        <w:numId w:val="8"/>
      </w:numPr>
      <w:spacing w:line="360" w:lineRule="auto"/>
      <w:jc w:val="both"/>
    </w:pPr>
    <w:rPr>
      <w:szCs w:val="20"/>
      <w:lang w:eastAsia="en-US"/>
    </w:rPr>
  </w:style>
  <w:style w:type="paragraph" w:styleId="a8">
    <w:name w:val="Balloon Text"/>
    <w:basedOn w:val="a"/>
    <w:link w:val="a9"/>
    <w:rsid w:val="00D835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835A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D835A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835A9"/>
  </w:style>
  <w:style w:type="character" w:styleId="ac">
    <w:name w:val="footnote reference"/>
    <w:basedOn w:val="a0"/>
    <w:rsid w:val="00D835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estrovskiy_YN@nrck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file:///C:\Users\Lysenko\Documents\dnyn\ZvenD19\sychugov@cs.msu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ru/AA-Dnestrovskiy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DE77-90BA-43F4-974E-CC5E35B5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16</TotalTime>
  <Pages>1</Pages>
  <Words>465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 OF ECR HEATING IN THE T-10 TOKAMAK AT FIRST AND SECOND HARMONICS</dc:title>
  <dc:creator>sato</dc:creator>
  <cp:lastModifiedBy>Сатунин</cp:lastModifiedBy>
  <cp:revision>2</cp:revision>
  <cp:lastPrinted>1601-01-01T00:00:00Z</cp:lastPrinted>
  <dcterms:created xsi:type="dcterms:W3CDTF">2020-02-11T15:26:00Z</dcterms:created>
  <dcterms:modified xsi:type="dcterms:W3CDTF">2020-04-16T16:47:00Z</dcterms:modified>
</cp:coreProperties>
</file>