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92" w:rsidRPr="00F20645" w:rsidRDefault="00F27D92" w:rsidP="00F27D92">
      <w:pPr>
        <w:pStyle w:val="Zv-Titlereport"/>
      </w:pPr>
      <w:r>
        <w:t>Закон подобия по атомному номеру энергий связи во внутренних электронных оболочках атомов</w:t>
      </w:r>
      <w:r w:rsidR="00F20645" w:rsidRPr="00F20645">
        <w:t xml:space="preserve"> </w:t>
      </w:r>
      <w:r w:rsidR="00F20645">
        <w:rPr>
          <w:rStyle w:val="ad"/>
        </w:rPr>
        <w:footnoteReference w:customMarkFollows="1" w:id="1"/>
        <w:t>*)</w:t>
      </w:r>
    </w:p>
    <w:p w:rsidR="00F27D92" w:rsidRDefault="00F27D92" w:rsidP="00F27D92">
      <w:pPr>
        <w:pStyle w:val="Zv-Author"/>
      </w:pPr>
      <w:r>
        <w:t>Шпатаковская Г.В.</w:t>
      </w:r>
    </w:p>
    <w:p w:rsidR="00F27D92" w:rsidRPr="00F27D92" w:rsidRDefault="00F27D92" w:rsidP="00F27D92">
      <w:pPr>
        <w:pStyle w:val="Zv-Organization"/>
      </w:pPr>
      <w:r w:rsidRPr="00F27D92">
        <w:t xml:space="preserve">ИПМ им. М.В.Келдыша РАН, Москва, Россия, </w:t>
      </w:r>
      <w:hyperlink r:id="rId8" w:history="1">
        <w:r>
          <w:rPr>
            <w:rStyle w:val="a8"/>
          </w:rPr>
          <w:t>shpagalya@yandex.ru</w:t>
        </w:r>
      </w:hyperlink>
    </w:p>
    <w:p w:rsidR="00F27D92" w:rsidRDefault="00F27D92" w:rsidP="00F27D92">
      <w:pPr>
        <w:pStyle w:val="Zv-bodyreport"/>
      </w:pPr>
      <w:r>
        <w:t>Проанализированы экспериментальные данные по энергиям связи электронов [1] в каждой из внутренних оболочек (</w:t>
      </w:r>
      <w:r>
        <w:rPr>
          <w:i/>
        </w:rPr>
        <w:t>K</w:t>
      </w:r>
      <w:r>
        <w:t>,</w:t>
      </w:r>
      <w:r>
        <w:rPr>
          <w:i/>
        </w:rPr>
        <w:t xml:space="preserve"> L</w:t>
      </w:r>
      <w:r>
        <w:t>,</w:t>
      </w:r>
      <w:r>
        <w:rPr>
          <w:i/>
        </w:rPr>
        <w:t xml:space="preserve"> M</w:t>
      </w:r>
      <w:r>
        <w:t>,</w:t>
      </w:r>
      <w:r>
        <w:rPr>
          <w:i/>
        </w:rPr>
        <w:t xml:space="preserve"> N</w:t>
      </w:r>
      <w:r>
        <w:t xml:space="preserve">, </w:t>
      </w:r>
      <w:r>
        <w:rPr>
          <w:i/>
        </w:rPr>
        <w:t>O, P</w:t>
      </w:r>
      <w:r>
        <w:t xml:space="preserve">) элементов периодической системы от водорода до урана. Анализ учитывает релятивистские эффекты и основан на полученных ранее квазиклассических выражениях для электронных уровней в сферическом атоме Томаса-Ферми и обнаруживает подобие по атомному номеру, отличное от закона Мозли. Большинство результатов измерений в отдельной оболочке, обработанных согласно алгоритму (1), образуют  монотонные зависимости </w:t>
      </w:r>
      <w:r w:rsidRPr="00D847B8">
        <w:rPr>
          <w:position w:val="-16"/>
        </w:rPr>
        <w:object w:dxaOrig="29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18.75pt" o:ole="">
            <v:imagedata r:id="rId9" o:title=""/>
          </v:shape>
          <o:OLEObject Type="Embed" ProgID="Equation.3" ShapeID="_x0000_i1025" DrawAspect="Content" ObjectID="_1649169166" r:id="rId10"/>
        </w:object>
      </w:r>
      <w:r>
        <w:t xml:space="preserve">, в качестве примера представленные на рис.1 и 2 в полулогарифмическом масштабе для  </w:t>
      </w:r>
      <w:r>
        <w:rPr>
          <w:i/>
        </w:rPr>
        <w:t>K</w:t>
      </w:r>
      <w:r>
        <w:t>,</w:t>
      </w:r>
      <w:r>
        <w:rPr>
          <w:i/>
        </w:rPr>
        <w:t xml:space="preserve"> L</w:t>
      </w:r>
      <w:r>
        <w:t>, и</w:t>
      </w:r>
      <w:r>
        <w:rPr>
          <w:i/>
        </w:rPr>
        <w:t xml:space="preserve"> N</w:t>
      </w:r>
      <w:r>
        <w:t xml:space="preserve"> оболочек. </w:t>
      </w:r>
    </w:p>
    <w:p w:rsidR="00F27D92" w:rsidRDefault="00F27D92" w:rsidP="00F27D92">
      <w:pPr>
        <w:pStyle w:val="Zv-formula"/>
        <w:tabs>
          <w:tab w:val="clear" w:pos="3960"/>
          <w:tab w:val="center" w:pos="4536"/>
        </w:tabs>
      </w:pPr>
      <w:r w:rsidRPr="00F27D92">
        <w:t xml:space="preserve"> </w:t>
      </w:r>
      <w:r w:rsidRPr="00F20645">
        <w:tab/>
      </w:r>
      <w:r w:rsidRPr="00D847B8">
        <w:rPr>
          <w:position w:val="-16"/>
        </w:rPr>
        <w:object w:dxaOrig="7520" w:dyaOrig="480">
          <v:shape id="_x0000_i1026" type="#_x0000_t75" style="width:367.5pt;height:23.25pt" o:ole="">
            <v:imagedata r:id="rId11" o:title=""/>
          </v:shape>
          <o:OLEObject Type="Embed" ProgID="Equation.3" ShapeID="_x0000_i1026" DrawAspect="Content" ObjectID="_1649169167" r:id="rId12"/>
        </w:object>
      </w:r>
      <w:r w:rsidRPr="00F27D92">
        <w:tab/>
      </w:r>
      <w:r>
        <w:t>(1)</w:t>
      </w:r>
    </w:p>
    <w:p w:rsidR="00F27D92" w:rsidRDefault="00F27D92" w:rsidP="00F27D92">
      <w:pPr>
        <w:pStyle w:val="Zv-bodyreport"/>
        <w:ind w:firstLine="0"/>
      </w:pPr>
      <w:r>
        <w:t xml:space="preserve">Для рентгеновских </w:t>
      </w:r>
      <w:r>
        <w:rPr>
          <w:i/>
        </w:rPr>
        <w:t>K</w:t>
      </w:r>
      <w:r>
        <w:t>,</w:t>
      </w:r>
      <w:r>
        <w:rPr>
          <w:i/>
        </w:rPr>
        <w:t xml:space="preserve"> L</w:t>
      </w:r>
      <w:r>
        <w:t xml:space="preserve"> термов отклонение от закона не превышает 1%, а б</w:t>
      </w:r>
      <w:r>
        <w:rPr>
          <w:b/>
          <w:i/>
        </w:rPr>
        <w:t>о</w:t>
      </w:r>
      <w:r>
        <w:t xml:space="preserve">льшие  отклонения свидетельствуют об ошибках измерения (Рис.1) [2]. Более сложные зависимости  проявляются в других оболочках, иллюстрируя особенности промежуточных групп (Рис.2). Отклонение от общих зависимостей с большой  вероятностью связано с погрешностью измерений. </w:t>
      </w:r>
    </w:p>
    <w:p w:rsidR="00F27D92" w:rsidRDefault="00F27D92" w:rsidP="00F27D92">
      <w:pPr>
        <w:pStyle w:val="Zv-bodyreport"/>
      </w:pPr>
      <w:r>
        <w:t xml:space="preserve">Анализ данных теоретического расчета энергий связи методом релятивистского локального функционала плотности демонстрирует подобные закономерности, но в этом случае их нарушение связывается со «сбоем» правильного порядка заполнения состояний с </w:t>
      </w:r>
      <w:r w:rsidRPr="00D847B8">
        <w:rPr>
          <w:position w:val="-6"/>
        </w:rPr>
        <w:object w:dxaOrig="600" w:dyaOrig="300">
          <v:shape id="_x0000_i1027" type="#_x0000_t75" style="width:30pt;height:15pt" o:ole="">
            <v:imagedata r:id="rId13" o:title=""/>
          </v:shape>
          <o:OLEObject Type="Embed" ProgID="Equation.3" ShapeID="_x0000_i1027" DrawAspect="Content" ObjectID="_1649169168" r:id="rId14"/>
        </w:object>
      </w:r>
      <w:r>
        <w:t xml:space="preserve"> и </w:t>
      </w:r>
      <w:r w:rsidRPr="00D847B8">
        <w:rPr>
          <w:position w:val="-6"/>
        </w:rPr>
        <w:object w:dxaOrig="580" w:dyaOrig="300">
          <v:shape id="_x0000_i1028" type="#_x0000_t75" style="width:29.25pt;height:15pt" o:ole="">
            <v:imagedata r:id="rId15" o:title=""/>
          </v:shape>
          <o:OLEObject Type="Embed" ProgID="Equation.3" ShapeID="_x0000_i1028" DrawAspect="Content" ObjectID="_1649169169" r:id="rId16"/>
        </w:object>
      </w:r>
      <w:r>
        <w:t xml:space="preserve"> в группах переходных элементов.</w:t>
      </w:r>
    </w:p>
    <w:tbl>
      <w:tblPr>
        <w:tblW w:w="6543" w:type="dxa"/>
        <w:jc w:val="center"/>
        <w:tblLook w:val="01E0"/>
      </w:tblPr>
      <w:tblGrid>
        <w:gridCol w:w="3269"/>
        <w:gridCol w:w="3274"/>
      </w:tblGrid>
      <w:tr w:rsidR="00F27D92" w:rsidRPr="008E77B9" w:rsidTr="00642E2B">
        <w:trPr>
          <w:trHeight w:val="2893"/>
          <w:jc w:val="center"/>
        </w:trPr>
        <w:tc>
          <w:tcPr>
            <w:tcW w:w="3269" w:type="dxa"/>
          </w:tcPr>
          <w:p w:rsidR="00F27D92" w:rsidRDefault="00F27D92" w:rsidP="00642E2B">
            <w:pPr>
              <w:pStyle w:val="Zv-bodyreport"/>
              <w:ind w:firstLine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762125" cy="1562100"/>
                  <wp:effectExtent l="19050" t="0" r="9525" b="0"/>
                  <wp:docPr id="5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F27D92" w:rsidRDefault="00F27D92" w:rsidP="00642E2B">
            <w:pPr>
              <w:pStyle w:val="Zv-bodyreport"/>
              <w:ind w:firstLine="0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743075" cy="1543050"/>
                  <wp:effectExtent l="19050" t="0" r="9525" b="0"/>
                  <wp:docPr id="6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D92" w:rsidRPr="008E77B9" w:rsidTr="00642E2B">
        <w:trPr>
          <w:trHeight w:val="266"/>
          <w:jc w:val="center"/>
        </w:trPr>
        <w:tc>
          <w:tcPr>
            <w:tcW w:w="0" w:type="auto"/>
          </w:tcPr>
          <w:p w:rsidR="00F27D92" w:rsidRPr="008E77B9" w:rsidRDefault="00F27D92" w:rsidP="00642E2B">
            <w:pPr>
              <w:pStyle w:val="Zv-bodyreport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8E77B9">
              <w:rPr>
                <w:sz w:val="20"/>
                <w:szCs w:val="20"/>
                <w:lang w:eastAsia="en-US"/>
              </w:rPr>
              <w:t>Рис.1</w:t>
            </w:r>
          </w:p>
        </w:tc>
        <w:tc>
          <w:tcPr>
            <w:tcW w:w="0" w:type="auto"/>
            <w:vAlign w:val="center"/>
          </w:tcPr>
          <w:p w:rsidR="00F27D92" w:rsidRPr="008E77B9" w:rsidRDefault="00F27D92" w:rsidP="00642E2B">
            <w:pPr>
              <w:pStyle w:val="Zv-bodyreport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8E77B9">
              <w:rPr>
                <w:sz w:val="20"/>
                <w:szCs w:val="20"/>
                <w:lang w:eastAsia="en-US"/>
              </w:rPr>
              <w:t>Рис.2</w:t>
            </w:r>
          </w:p>
        </w:tc>
      </w:tr>
    </w:tbl>
    <w:p w:rsidR="00F27D92" w:rsidRDefault="00F27D92" w:rsidP="00F27D92">
      <w:pPr>
        <w:pStyle w:val="Zv-TitleReferences-ru"/>
      </w:pPr>
      <w:r>
        <w:t>Литература</w:t>
      </w:r>
    </w:p>
    <w:p w:rsidR="00F27D92" w:rsidRDefault="00F27D92" w:rsidP="00F27D92">
      <w:pPr>
        <w:pStyle w:val="Zv-References-ru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A. Tompson et al, </w:t>
      </w:r>
      <w:r>
        <w:rPr>
          <w:i/>
          <w:lang w:val="en-US"/>
        </w:rPr>
        <w:t>X-RAY DATA BOOKLET</w:t>
      </w:r>
      <w:r>
        <w:rPr>
          <w:lang w:val="en-US"/>
        </w:rPr>
        <w:t>, Center for X-ray Optics and Advanced Light Source (Lawrence Berkeley National Laboratory, update October 2009); http://xdb.lbl.gov/</w:t>
      </w:r>
    </w:p>
    <w:p w:rsidR="00F27D92" w:rsidRDefault="00F27D92" w:rsidP="00F27D92">
      <w:pPr>
        <w:pStyle w:val="Zv-References-ru"/>
        <w:numPr>
          <w:ilvl w:val="0"/>
          <w:numId w:val="8"/>
        </w:numPr>
      </w:pPr>
      <w:r>
        <w:t xml:space="preserve">Г.В. Шпатаковская   </w:t>
      </w:r>
      <w:r>
        <w:rPr>
          <w:i/>
        </w:rPr>
        <w:t>Письма в ЖЭТФ</w:t>
      </w:r>
      <w:r>
        <w:t xml:space="preserve"> </w:t>
      </w:r>
      <w:r>
        <w:rPr>
          <w:b/>
        </w:rPr>
        <w:t>108</w:t>
      </w:r>
      <w:r>
        <w:t xml:space="preserve"> 781 (2018)</w:t>
      </w:r>
    </w:p>
    <w:p w:rsidR="00654A7B" w:rsidRPr="00F27D92" w:rsidRDefault="00654A7B"/>
    <w:sectPr w:rsidR="00654A7B" w:rsidRPr="00F27D92" w:rsidSect="00F95123">
      <w:headerReference w:type="default" r:id="rId19"/>
      <w:footerReference w:type="even" r:id="rId20"/>
      <w:footerReference w:type="default" r:id="rId2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338" w:rsidRDefault="00521338">
      <w:r>
        <w:separator/>
      </w:r>
    </w:p>
  </w:endnote>
  <w:endnote w:type="continuationSeparator" w:id="0">
    <w:p w:rsidR="00521338" w:rsidRDefault="00521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F0D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F0D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4F4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338" w:rsidRDefault="00521338">
      <w:r>
        <w:separator/>
      </w:r>
    </w:p>
  </w:footnote>
  <w:footnote w:type="continuationSeparator" w:id="0">
    <w:p w:rsidR="00521338" w:rsidRDefault="00521338">
      <w:r>
        <w:continuationSeparator/>
      </w:r>
    </w:p>
  </w:footnote>
  <w:footnote w:id="1">
    <w:p w:rsidR="00F20645" w:rsidRPr="00F20645" w:rsidRDefault="00F20645">
      <w:pPr>
        <w:pStyle w:val="ab"/>
        <w:rPr>
          <w:sz w:val="22"/>
          <w:szCs w:val="22"/>
          <w:lang w:val="en-US"/>
        </w:rPr>
      </w:pPr>
      <w:r w:rsidRPr="00F20645">
        <w:rPr>
          <w:rStyle w:val="ad"/>
          <w:sz w:val="22"/>
          <w:szCs w:val="22"/>
        </w:rPr>
        <w:t>*)</w:t>
      </w:r>
      <w:r w:rsidRPr="00F20645">
        <w:rPr>
          <w:sz w:val="22"/>
          <w:szCs w:val="22"/>
        </w:rPr>
        <w:t xml:space="preserve">  </w:t>
      </w:r>
      <w:hyperlink r:id="rId1" w:history="1">
        <w:r w:rsidRPr="00DC4F4F">
          <w:rPr>
            <w:rStyle w:val="a8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3F0DE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133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F0DEC"/>
    <w:rsid w:val="00401388"/>
    <w:rsid w:val="00446025"/>
    <w:rsid w:val="00447ABC"/>
    <w:rsid w:val="004A77D1"/>
    <w:rsid w:val="004B72AA"/>
    <w:rsid w:val="004F4E29"/>
    <w:rsid w:val="00521338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36B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847B8"/>
    <w:rsid w:val="00DA4715"/>
    <w:rsid w:val="00DC4F4F"/>
    <w:rsid w:val="00DE16AD"/>
    <w:rsid w:val="00DF1C1D"/>
    <w:rsid w:val="00E1331D"/>
    <w:rsid w:val="00E7021A"/>
    <w:rsid w:val="00E87733"/>
    <w:rsid w:val="00F20645"/>
    <w:rsid w:val="00F27D92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D9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F27D92"/>
    <w:rPr>
      <w:color w:val="0000FF"/>
      <w:u w:val="single"/>
    </w:rPr>
  </w:style>
  <w:style w:type="character" w:customStyle="1" w:styleId="a7">
    <w:name w:val="Основной текст Знак"/>
    <w:basedOn w:val="a0"/>
    <w:link w:val="a6"/>
    <w:locked/>
    <w:rsid w:val="00F27D92"/>
    <w:rPr>
      <w:sz w:val="24"/>
      <w:szCs w:val="24"/>
    </w:rPr>
  </w:style>
  <w:style w:type="character" w:customStyle="1" w:styleId="Zv-Organization0">
    <w:name w:val="Zv-Organization Знак"/>
    <w:basedOn w:val="a0"/>
    <w:link w:val="Zv-Organization"/>
    <w:locked/>
    <w:rsid w:val="00F27D92"/>
    <w:rPr>
      <w:i/>
      <w:sz w:val="24"/>
    </w:rPr>
  </w:style>
  <w:style w:type="paragraph" w:styleId="a9">
    <w:name w:val="Balloon Text"/>
    <w:basedOn w:val="a"/>
    <w:link w:val="aa"/>
    <w:rsid w:val="00F27D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7D92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F2064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20645"/>
  </w:style>
  <w:style w:type="character" w:styleId="ad">
    <w:name w:val="footnote reference"/>
    <w:basedOn w:val="a0"/>
    <w:rsid w:val="00F206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pagalya@yandex.ru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C-Shpatakovskay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5E0EF-EAF4-49AD-A0AA-A3BB5AD3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220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ПОДОБИЯ ПО АТОМНОМУ НОМЕРУ ЭНЕРГИЙ СВЯЗИ ВО ВНУТРЕННИХ ЭЛЕКТРОННЫХ ОБОЛОЧКАХ АТОМОВ</dc:title>
  <dc:creator>sato</dc:creator>
  <cp:lastModifiedBy>Сатунин</cp:lastModifiedBy>
  <cp:revision>3</cp:revision>
  <cp:lastPrinted>1601-01-01T00:00:00Z</cp:lastPrinted>
  <dcterms:created xsi:type="dcterms:W3CDTF">2020-02-19T20:53:00Z</dcterms:created>
  <dcterms:modified xsi:type="dcterms:W3CDTF">2020-04-23T14:46:00Z</dcterms:modified>
</cp:coreProperties>
</file>