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288" w:rsidRPr="00F9682D" w:rsidRDefault="001C062A" w:rsidP="00982288">
      <w:pPr>
        <w:pStyle w:val="Zv-Titlereport"/>
        <w:rPr>
          <w:lang w:val="en-US"/>
        </w:rPr>
      </w:pPr>
      <w:r w:rsidRPr="001C062A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1C062A" w:rsidRPr="0095603D" w:rsidRDefault="001C062A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1C062A">
                    <w:rPr>
                      <w:sz w:val="22"/>
                      <w:szCs w:val="22"/>
                    </w:rPr>
                    <w:t>10.34854/ICPAF.2020.47.1.114</w:t>
                  </w:r>
                </w:p>
              </w:txbxContent>
            </v:textbox>
            <w10:anchorlock/>
          </v:shape>
        </w:pict>
      </w:r>
      <w:r w:rsidR="00982288">
        <w:rPr>
          <w:lang w:val="en-US"/>
        </w:rPr>
        <w:t>Investigation</w:t>
      </w:r>
      <w:r w:rsidR="00982288" w:rsidRPr="00F9682D">
        <w:rPr>
          <w:lang w:val="en-US"/>
        </w:rPr>
        <w:t xml:space="preserve"> OF </w:t>
      </w:r>
      <w:r w:rsidR="00982288">
        <w:rPr>
          <w:lang w:val="en-US"/>
        </w:rPr>
        <w:t xml:space="preserve">the </w:t>
      </w:r>
      <w:r w:rsidR="00982288" w:rsidRPr="00F9682D">
        <w:rPr>
          <w:lang w:val="en-US"/>
        </w:rPr>
        <w:t>NEGATIVE LEADERS FORMATION</w:t>
      </w:r>
      <w:r w:rsidR="00982288">
        <w:rPr>
          <w:lang w:val="en-US"/>
        </w:rPr>
        <w:t xml:space="preserve"> USING LASER probing</w:t>
      </w:r>
      <w:r w:rsidR="00982288" w:rsidRPr="00F9682D">
        <w:rPr>
          <w:lang w:val="en-US"/>
        </w:rPr>
        <w:t xml:space="preserve"> METHODS</w:t>
      </w:r>
      <w:r w:rsidR="009F3FC7">
        <w:rPr>
          <w:lang w:val="en-US"/>
        </w:rPr>
        <w:t xml:space="preserve"> </w:t>
      </w:r>
      <w:r w:rsidR="009F3FC7">
        <w:rPr>
          <w:rStyle w:val="ac"/>
          <w:lang w:val="en-US"/>
        </w:rPr>
        <w:footnoteReference w:customMarkFollows="1" w:id="1"/>
        <w:t>*)</w:t>
      </w:r>
    </w:p>
    <w:p w:rsidR="00982288" w:rsidRPr="00F9682D" w:rsidRDefault="00982288" w:rsidP="00982288">
      <w:pPr>
        <w:pStyle w:val="Zv-Author"/>
        <w:rPr>
          <w:lang w:val="en-US"/>
        </w:rPr>
      </w:pPr>
      <w:r>
        <w:rPr>
          <w:lang w:val="en-US"/>
        </w:rPr>
        <w:t>Agafonov A.V.</w:t>
      </w:r>
      <w:r w:rsidRPr="00F9682D">
        <w:rPr>
          <w:lang w:val="en-US"/>
        </w:rPr>
        <w:t xml:space="preserve">, </w:t>
      </w:r>
      <w:r>
        <w:rPr>
          <w:lang w:val="en-US"/>
        </w:rPr>
        <w:t>Zakharov S.M</w:t>
      </w:r>
      <w:r w:rsidRPr="00F9682D">
        <w:rPr>
          <w:lang w:val="en-US"/>
        </w:rPr>
        <w:t xml:space="preserve">., </w:t>
      </w:r>
      <w:r w:rsidRPr="00F9682D">
        <w:rPr>
          <w:u w:val="single"/>
          <w:lang w:val="en-US"/>
        </w:rPr>
        <w:t>Medvedev M.A.</w:t>
      </w:r>
      <w:r w:rsidRPr="00982288">
        <w:rPr>
          <w:lang w:val="en-US"/>
        </w:rPr>
        <w:t>,</w:t>
      </w:r>
      <w:r w:rsidRPr="00F9682D">
        <w:rPr>
          <w:lang w:val="en-US"/>
        </w:rPr>
        <w:t xml:space="preserve"> </w:t>
      </w:r>
      <w:r>
        <w:rPr>
          <w:lang w:val="en-US"/>
        </w:rPr>
        <w:t>Oginov A.V.</w:t>
      </w:r>
      <w:r w:rsidRPr="00F9682D">
        <w:rPr>
          <w:lang w:val="en-US"/>
        </w:rPr>
        <w:t xml:space="preserve">, </w:t>
      </w:r>
      <w:r>
        <w:rPr>
          <w:lang w:val="en-US"/>
        </w:rPr>
        <w:t>Parkevich E.V.</w:t>
      </w:r>
      <w:r w:rsidRPr="00F9682D">
        <w:rPr>
          <w:lang w:val="en-US"/>
        </w:rPr>
        <w:t xml:space="preserve">, </w:t>
      </w:r>
      <w:r>
        <w:rPr>
          <w:lang w:val="en-US"/>
        </w:rPr>
        <w:t>Khirianova A.I.</w:t>
      </w:r>
    </w:p>
    <w:p w:rsidR="00982288" w:rsidRDefault="00982288" w:rsidP="001C062A">
      <w:pPr>
        <w:pStyle w:val="Zv-Organization"/>
        <w:spacing w:after="180"/>
        <w:rPr>
          <w:lang w:val="en-US"/>
        </w:rPr>
      </w:pPr>
      <w:r w:rsidRPr="00906C4A">
        <w:rPr>
          <w:lang w:val="en-US"/>
        </w:rPr>
        <w:t>P.N. Lebedev Physical Institute of the Russian Academy of Sciences, 53 Leninskiy Prospekt, 119991, Moscow, Russia</w:t>
      </w:r>
      <w:r>
        <w:rPr>
          <w:lang w:val="en-US"/>
        </w:rPr>
        <w:t xml:space="preserve">, </w:t>
      </w:r>
      <w:hyperlink r:id="rId8" w:history="1">
        <w:r w:rsidRPr="00043BB9">
          <w:rPr>
            <w:rStyle w:val="a7"/>
            <w:lang w:val="en-US"/>
          </w:rPr>
          <w:t>medvedevma@lebedev.ru</w:t>
        </w:r>
      </w:hyperlink>
    </w:p>
    <w:p w:rsidR="00982288" w:rsidRPr="00537AC5" w:rsidRDefault="00982288" w:rsidP="001C062A">
      <w:pPr>
        <w:pStyle w:val="Zv-bodyreport"/>
        <w:spacing w:line="226" w:lineRule="auto"/>
        <w:rPr>
          <w:lang w:val="en-US"/>
        </w:rPr>
      </w:pPr>
      <w:r w:rsidRPr="00D21180">
        <w:rPr>
          <w:lang w:val="en-US"/>
        </w:rPr>
        <w:t>The development of the lightning current channel represents the growth of a negative leader starting from a negatively charged thundercloud towards a positively charged earth.</w:t>
      </w:r>
      <w:r>
        <w:rPr>
          <w:lang w:val="en-US"/>
        </w:rPr>
        <w:t xml:space="preserve"> </w:t>
      </w:r>
      <w:r w:rsidRPr="00D21180">
        <w:rPr>
          <w:lang w:val="en-US"/>
        </w:rPr>
        <w:t>At present, the physical phenomena accompanying the development of lightning, such as the generation of hard radiation and neutrons [1</w:t>
      </w:r>
      <w:r>
        <w:rPr>
          <w:lang w:val="en-US"/>
        </w:rPr>
        <w:t>,2</w:t>
      </w:r>
      <w:r w:rsidRPr="00D21180">
        <w:rPr>
          <w:lang w:val="en-US"/>
        </w:rPr>
        <w:t>], do not have a full explanation. In this work, we have studied the features of the formation and development of leader channels using laser probing methods.</w:t>
      </w:r>
      <w:r>
        <w:rPr>
          <w:lang w:val="en-US"/>
        </w:rPr>
        <w:t xml:space="preserve"> </w:t>
      </w:r>
      <w:r w:rsidRPr="00D21180">
        <w:rPr>
          <w:lang w:val="en-US"/>
        </w:rPr>
        <w:t>The sketch of the laser diagnostics is shown in Figure 1. The discharge was generated on the ERG setup [</w:t>
      </w:r>
      <w:r>
        <w:rPr>
          <w:lang w:val="en-US"/>
        </w:rPr>
        <w:t>3</w:t>
      </w:r>
      <w:r w:rsidRPr="00D21180">
        <w:rPr>
          <w:lang w:val="en-US"/>
        </w:rPr>
        <w:t>] in the tip-sphere electrode configuration, with a gap between the electrodes of 60 cm. The high-voltage electrode was the tip, to which a negative voltage pulse with an amplitude of ~ 1.4 MV and a duration of ~ 2 μs was supplied. The maximum generator current was ~ 10 kA. Typical current and voltage waveforms are shown in Figure 2 (a). Laser probing methods included interferometry, shadow and schlieren photography of the discharge. Typical shadow and schlieren photographs are shown in Figures 2 (b), (c). The laser was synchronized using a narrow-band microwave antenna tuned to the radio emission generated by the discharge</w:t>
      </w:r>
      <w:r>
        <w:rPr>
          <w:lang w:val="en-US"/>
        </w:rPr>
        <w:t xml:space="preserve">. </w:t>
      </w:r>
    </w:p>
    <w:p w:rsidR="00982288" w:rsidRDefault="00982288" w:rsidP="001C062A">
      <w:pPr>
        <w:pStyle w:val="a6"/>
        <w:spacing w:line="226" w:lineRule="auto"/>
        <w:jc w:val="center"/>
      </w:pPr>
      <w:r>
        <w:rPr>
          <w:noProof/>
        </w:rPr>
        <w:drawing>
          <wp:inline distT="0" distB="0" distL="0" distR="0">
            <wp:extent cx="4343400" cy="1361231"/>
            <wp:effectExtent l="19050" t="0" r="0" b="0"/>
            <wp:docPr id="6" name="Рисунок 4" descr="C:\Users\005\AppData\Local\Microsoft\Windows\INetCache\Content.Word\ERG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005\AppData\Local\Microsoft\Windows\INetCache\Content.Word\ERG_small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1361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288" w:rsidRPr="00982288" w:rsidRDefault="00982288" w:rsidP="001C062A">
      <w:pPr>
        <w:pStyle w:val="a6"/>
        <w:spacing w:line="226" w:lineRule="auto"/>
        <w:jc w:val="center"/>
        <w:rPr>
          <w:sz w:val="22"/>
          <w:szCs w:val="22"/>
          <w:lang w:val="en-US"/>
        </w:rPr>
      </w:pPr>
      <w:r w:rsidRPr="00982288">
        <w:rPr>
          <w:sz w:val="22"/>
          <w:szCs w:val="22"/>
          <w:lang w:val="en-US"/>
        </w:rPr>
        <w:t>Fig.1. The sketch of the experimental setup.</w:t>
      </w:r>
    </w:p>
    <w:p w:rsidR="00982288" w:rsidRPr="00B424A6" w:rsidRDefault="00982288" w:rsidP="001C062A">
      <w:pPr>
        <w:pStyle w:val="a6"/>
        <w:spacing w:line="226" w:lineRule="auto"/>
      </w:pPr>
      <w:r>
        <w:rPr>
          <w:noProof/>
        </w:rPr>
        <w:drawing>
          <wp:inline distT="0" distB="0" distL="0" distR="0">
            <wp:extent cx="5686425" cy="1222316"/>
            <wp:effectExtent l="19050" t="0" r="9525" b="0"/>
            <wp:docPr id="9" name="Рисунок 4" descr="C:\Users\X-pinch\Desktop\mikhail\Звенигород 2020\9_smal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X-pinch\Desktop\mikhail\Звенигород 2020\9_small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6425" cy="12223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2288" w:rsidRPr="00982288" w:rsidRDefault="00982288" w:rsidP="001C062A">
      <w:pPr>
        <w:pStyle w:val="a6"/>
        <w:spacing w:line="226" w:lineRule="auto"/>
        <w:jc w:val="center"/>
        <w:rPr>
          <w:sz w:val="22"/>
          <w:szCs w:val="22"/>
          <w:lang w:val="en-US"/>
        </w:rPr>
      </w:pPr>
      <w:r>
        <w:rPr>
          <w:lang w:val="en-US"/>
        </w:rPr>
        <w:t>Fig</w:t>
      </w:r>
      <w:r w:rsidRPr="00982288">
        <w:rPr>
          <w:sz w:val="22"/>
          <w:szCs w:val="22"/>
          <w:lang w:val="en-US"/>
        </w:rPr>
        <w:t>. 2. Waveforms of discharge voltage and current(a), shadow and schlieren images of the discharge. The moment of the laser probing spotted by the red curve on the oscillogram.</w:t>
      </w:r>
    </w:p>
    <w:p w:rsidR="00982288" w:rsidRDefault="00982288" w:rsidP="001C062A">
      <w:pPr>
        <w:pStyle w:val="Zv-bodyreport"/>
        <w:spacing w:line="226" w:lineRule="auto"/>
        <w:rPr>
          <w:lang w:val="en-US"/>
        </w:rPr>
      </w:pPr>
      <w:r w:rsidRPr="00537AC5">
        <w:rPr>
          <w:lang w:val="en-US"/>
        </w:rPr>
        <w:t>This work was supported by the Russian Science Foundation grant No. 19-79-30086. The development of an optical diagnostic system was partially supported by the RFBR grant No. 18-32-00566.</w:t>
      </w:r>
    </w:p>
    <w:p w:rsidR="00982288" w:rsidRPr="00906C4A" w:rsidRDefault="00982288" w:rsidP="001C062A">
      <w:pPr>
        <w:pStyle w:val="Zv-TitleReferences-en"/>
        <w:spacing w:before="80" w:after="80" w:line="226" w:lineRule="auto"/>
        <w:rPr>
          <w:lang w:val="en-US"/>
        </w:rPr>
      </w:pPr>
      <w:r>
        <w:rPr>
          <w:lang w:val="en-US"/>
        </w:rPr>
        <w:t>References</w:t>
      </w:r>
    </w:p>
    <w:p w:rsidR="00982288" w:rsidRDefault="00982288" w:rsidP="001C062A">
      <w:pPr>
        <w:pStyle w:val="Zv-References-en"/>
        <w:spacing w:line="226" w:lineRule="auto"/>
      </w:pPr>
      <w:r w:rsidRPr="00233475">
        <w:t>Gurevich</w:t>
      </w:r>
      <w:r w:rsidRPr="000133BF">
        <w:t xml:space="preserve">, </w:t>
      </w:r>
      <w:r w:rsidRPr="00233475">
        <w:t>A</w:t>
      </w:r>
      <w:r w:rsidRPr="000133BF">
        <w:t>.</w:t>
      </w:r>
      <w:r w:rsidRPr="00233475">
        <w:t>V</w:t>
      </w:r>
      <w:r w:rsidRPr="000133BF">
        <w:t xml:space="preserve">. </w:t>
      </w:r>
      <w:r w:rsidRPr="00233475">
        <w:t>et</w:t>
      </w:r>
      <w:r w:rsidRPr="000133BF">
        <w:t xml:space="preserve"> </w:t>
      </w:r>
      <w:r>
        <w:t>al</w:t>
      </w:r>
      <w:r w:rsidRPr="000133BF">
        <w:t xml:space="preserve">., 2016. </w:t>
      </w:r>
      <w:r w:rsidRPr="00233475">
        <w:t xml:space="preserve">Observations of high-energy radiation during thunderstorms at Tien-Shan. Phys. Rev. D 94, 023003. </w:t>
      </w:r>
      <w:hyperlink r:id="rId11" w:history="1">
        <w:r w:rsidRPr="00334B8B">
          <w:rPr>
            <w:rStyle w:val="a7"/>
          </w:rPr>
          <w:t>https://doi.org/10.1103/PhysRevD.94.023003</w:t>
        </w:r>
      </w:hyperlink>
    </w:p>
    <w:p w:rsidR="00982288" w:rsidRDefault="00982288" w:rsidP="001C062A">
      <w:pPr>
        <w:pStyle w:val="Zv-References-en"/>
        <w:spacing w:line="226" w:lineRule="auto"/>
      </w:pPr>
      <w:r w:rsidRPr="00233475">
        <w:t>Dwyer, J.R.</w:t>
      </w:r>
      <w:r>
        <w:t xml:space="preserve"> et al.</w:t>
      </w:r>
      <w:r w:rsidRPr="00233475">
        <w:t xml:space="preserve">, 2005. X-ray bursts associated with leader steps in cloud-to-ground lightning. Geophysical Research Letters 32. </w:t>
      </w:r>
      <w:hyperlink r:id="rId12" w:history="1">
        <w:r w:rsidRPr="00334B8B">
          <w:rPr>
            <w:rStyle w:val="a7"/>
          </w:rPr>
          <w:t>https</w:t>
        </w:r>
        <w:r w:rsidRPr="00320803">
          <w:rPr>
            <w:rStyle w:val="a7"/>
          </w:rPr>
          <w:t>://</w:t>
        </w:r>
        <w:r w:rsidRPr="00334B8B">
          <w:rPr>
            <w:rStyle w:val="a7"/>
          </w:rPr>
          <w:t>doi</w:t>
        </w:r>
        <w:r w:rsidRPr="00320803">
          <w:rPr>
            <w:rStyle w:val="a7"/>
          </w:rPr>
          <w:t>.</w:t>
        </w:r>
        <w:r w:rsidRPr="00334B8B">
          <w:rPr>
            <w:rStyle w:val="a7"/>
          </w:rPr>
          <w:t>org</w:t>
        </w:r>
        <w:r w:rsidRPr="00320803">
          <w:rPr>
            <w:rStyle w:val="a7"/>
          </w:rPr>
          <w:t>/10.1029/2004</w:t>
        </w:r>
        <w:r w:rsidRPr="00334B8B">
          <w:rPr>
            <w:rStyle w:val="a7"/>
          </w:rPr>
          <w:t>GL</w:t>
        </w:r>
        <w:r w:rsidRPr="00320803">
          <w:rPr>
            <w:rStyle w:val="a7"/>
          </w:rPr>
          <w:t>021782</w:t>
        </w:r>
      </w:hyperlink>
    </w:p>
    <w:p w:rsidR="00654A7B" w:rsidRDefault="00982288" w:rsidP="001C062A">
      <w:pPr>
        <w:pStyle w:val="Zv-References-en"/>
        <w:widowControl w:val="0"/>
        <w:spacing w:line="226" w:lineRule="auto"/>
      </w:pPr>
      <w:r w:rsidRPr="00D16103">
        <w:t>Agafonov</w:t>
      </w:r>
      <w:r w:rsidRPr="00320803">
        <w:t xml:space="preserve">, </w:t>
      </w:r>
      <w:r w:rsidRPr="00D16103">
        <w:t>A</w:t>
      </w:r>
      <w:r w:rsidRPr="00320803">
        <w:t>.</w:t>
      </w:r>
      <w:r w:rsidRPr="00D16103">
        <w:t>V</w:t>
      </w:r>
      <w:r w:rsidRPr="00320803">
        <w:t xml:space="preserve">., </w:t>
      </w:r>
      <w:r w:rsidRPr="00D16103">
        <w:t>Oginov</w:t>
      </w:r>
      <w:r w:rsidRPr="00320803">
        <w:t xml:space="preserve">, </w:t>
      </w:r>
      <w:r w:rsidRPr="00D16103">
        <w:t>A</w:t>
      </w:r>
      <w:r w:rsidRPr="00320803">
        <w:t>.</w:t>
      </w:r>
      <w:r w:rsidRPr="00D16103">
        <w:t>V</w:t>
      </w:r>
      <w:r w:rsidRPr="00320803">
        <w:t xml:space="preserve">., </w:t>
      </w:r>
      <w:r w:rsidRPr="00D16103">
        <w:t>Shpakov</w:t>
      </w:r>
      <w:r w:rsidRPr="00320803">
        <w:t xml:space="preserve">, </w:t>
      </w:r>
      <w:r w:rsidRPr="00D16103">
        <w:t>K</w:t>
      </w:r>
      <w:r w:rsidRPr="00320803">
        <w:t>.</w:t>
      </w:r>
      <w:r w:rsidRPr="00D16103">
        <w:t>V</w:t>
      </w:r>
      <w:r w:rsidRPr="00320803">
        <w:t xml:space="preserve">., 2012. </w:t>
      </w:r>
      <w:r w:rsidRPr="00D16103">
        <w:t xml:space="preserve">Prebreakdown phase in atmospheric discharges. Phys. Part. Nuclei Lett. 9, 380–383. </w:t>
      </w:r>
      <w:hyperlink r:id="rId13" w:history="1">
        <w:r w:rsidRPr="00043BB9">
          <w:rPr>
            <w:rStyle w:val="a7"/>
          </w:rPr>
          <w:t>https://doi.org/10.1134/S1547477112040024</w:t>
        </w:r>
      </w:hyperlink>
    </w:p>
    <w:sectPr w:rsidR="00654A7B" w:rsidSect="00F95123">
      <w:headerReference w:type="default" r:id="rId14"/>
      <w:footerReference w:type="even" r:id="rId15"/>
      <w:footerReference w:type="defaul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4FA" w:rsidRDefault="009654FA">
      <w:r>
        <w:separator/>
      </w:r>
    </w:p>
  </w:endnote>
  <w:endnote w:type="continuationSeparator" w:id="0">
    <w:p w:rsidR="009654FA" w:rsidRDefault="009654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438F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438F3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27FE5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4FA" w:rsidRDefault="009654FA">
      <w:r>
        <w:separator/>
      </w:r>
    </w:p>
  </w:footnote>
  <w:footnote w:type="continuationSeparator" w:id="0">
    <w:p w:rsidR="009654FA" w:rsidRDefault="009654FA">
      <w:r>
        <w:continuationSeparator/>
      </w:r>
    </w:p>
  </w:footnote>
  <w:footnote w:id="1">
    <w:p w:rsidR="009F3FC7" w:rsidRPr="009F3FC7" w:rsidRDefault="009F3FC7">
      <w:pPr>
        <w:pStyle w:val="aa"/>
        <w:rPr>
          <w:sz w:val="22"/>
          <w:szCs w:val="22"/>
          <w:lang w:val="en-US"/>
        </w:rPr>
      </w:pPr>
      <w:r w:rsidRPr="009F3FC7">
        <w:rPr>
          <w:rStyle w:val="ac"/>
          <w:sz w:val="22"/>
          <w:szCs w:val="22"/>
          <w:lang w:val="en-US"/>
        </w:rPr>
        <w:t>*)</w:t>
      </w:r>
      <w:r w:rsidRPr="009F3FC7">
        <w:rPr>
          <w:sz w:val="22"/>
          <w:szCs w:val="22"/>
          <w:lang w:val="en-US"/>
        </w:rPr>
        <w:t xml:space="preserve">  </w:t>
      </w:r>
      <w:hyperlink r:id="rId1" w:history="1">
        <w:r w:rsidRPr="00F27FE5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F438F3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654FA"/>
    <w:rsid w:val="00043701"/>
    <w:rsid w:val="000C657D"/>
    <w:rsid w:val="000C7078"/>
    <w:rsid w:val="000D76E9"/>
    <w:rsid w:val="000E495B"/>
    <w:rsid w:val="000F7352"/>
    <w:rsid w:val="001C062A"/>
    <w:rsid w:val="001C0CCB"/>
    <w:rsid w:val="00205708"/>
    <w:rsid w:val="00207694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9654FA"/>
    <w:rsid w:val="00982288"/>
    <w:rsid w:val="009F3FC7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27FE5"/>
    <w:rsid w:val="00F438F3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228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982288"/>
    <w:rPr>
      <w:color w:val="0000FF" w:themeColor="hyperlink"/>
      <w:u w:val="single"/>
    </w:rPr>
  </w:style>
  <w:style w:type="paragraph" w:styleId="a8">
    <w:name w:val="Balloon Text"/>
    <w:basedOn w:val="a"/>
    <w:link w:val="a9"/>
    <w:rsid w:val="0098228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82288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rsid w:val="009F3FC7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F3FC7"/>
  </w:style>
  <w:style w:type="character" w:styleId="ac">
    <w:name w:val="footnote reference"/>
    <w:basedOn w:val="a0"/>
    <w:rsid w:val="009F3FC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vedevma@lebedev.ru" TargetMode="External"/><Relationship Id="rId13" Type="http://schemas.openxmlformats.org/officeDocument/2006/relationships/hyperlink" Target="https://doi.org/10.1134/S1547477112040024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029/2004GL021782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103/PhysRevD.94.023003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ru/EP-Medved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FE711-3211-446F-821F-D751D7F0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9</TotalTime>
  <Pages>1</Pages>
  <Words>360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INVESTIGATION OF THE NEGATIVE LEADERS FORMATION USING LASER PROBING METHODS</dc:title>
  <dc:creator>sato</dc:creator>
  <cp:lastModifiedBy>Сатунин</cp:lastModifiedBy>
  <cp:revision>4</cp:revision>
  <cp:lastPrinted>1601-01-01T00:00:00Z</cp:lastPrinted>
  <dcterms:created xsi:type="dcterms:W3CDTF">2020-02-20T14:46:00Z</dcterms:created>
  <dcterms:modified xsi:type="dcterms:W3CDTF">2020-04-24T12:57:00Z</dcterms:modified>
</cp:coreProperties>
</file>