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FB" w:rsidRPr="0089151C" w:rsidRDefault="00287220" w:rsidP="00BE53FB">
      <w:pPr>
        <w:pStyle w:val="Zv-Titlereport"/>
        <w:rPr>
          <w:rFonts w:eastAsia="Calibri"/>
          <w:lang w:val="en-US" w:eastAsia="en-US"/>
        </w:rPr>
      </w:pPr>
      <w:r w:rsidRPr="00287220">
        <w:rPr>
          <w:rFonts w:eastAsia="Calibri"/>
          <w:noProof/>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4144;mso-position-horizontal:absolute" stroked="f" strokecolor="red">
            <v:textbox style="mso-next-textbox:#_x0000_s1028">
              <w:txbxContent>
                <w:p w:rsidR="00287220" w:rsidRPr="0095603D" w:rsidRDefault="00287220" w:rsidP="003B6459">
                  <w:pPr>
                    <w:spacing w:before="80"/>
                    <w:rPr>
                      <w:sz w:val="22"/>
                      <w:szCs w:val="22"/>
                    </w:rPr>
                  </w:pPr>
                  <w:r w:rsidRPr="0095603D">
                    <w:rPr>
                      <w:sz w:val="22"/>
                      <w:szCs w:val="22"/>
                    </w:rPr>
                    <w:t>DOI:</w:t>
                  </w:r>
                  <w:r>
                    <w:rPr>
                      <w:sz w:val="22"/>
                      <w:szCs w:val="22"/>
                    </w:rPr>
                    <w:t xml:space="preserve"> </w:t>
                  </w:r>
                  <w:r w:rsidRPr="00287220">
                    <w:rPr>
                      <w:sz w:val="22"/>
                      <w:szCs w:val="22"/>
                    </w:rPr>
                    <w:t>10.34854/ICPAF.2020.47.1.109</w:t>
                  </w:r>
                </w:p>
              </w:txbxContent>
            </v:textbox>
            <w10:anchorlock/>
          </v:shape>
        </w:pict>
      </w:r>
      <w:r w:rsidR="00BE53FB" w:rsidRPr="0089151C">
        <w:rPr>
          <w:rFonts w:eastAsia="Calibri"/>
          <w:lang w:val="en-US" w:eastAsia="en-US"/>
        </w:rPr>
        <w:t>Z-PINCH STUDY WITH ELECTRON BEAM DISCHARGE INITIATION</w:t>
      </w:r>
      <w:r w:rsidR="00C22D9A">
        <w:rPr>
          <w:rFonts w:eastAsia="Calibri"/>
          <w:lang w:val="en-US" w:eastAsia="en-US"/>
        </w:rPr>
        <w:t xml:space="preserve"> </w:t>
      </w:r>
      <w:r w:rsidR="00C22D9A">
        <w:rPr>
          <w:rStyle w:val="ac"/>
          <w:rFonts w:eastAsia="Calibri"/>
          <w:lang w:val="en-US" w:eastAsia="en-US"/>
        </w:rPr>
        <w:footnoteReference w:customMarkFollows="1" w:id="1"/>
        <w:t>*)</w:t>
      </w:r>
    </w:p>
    <w:p w:rsidR="00BE53FB" w:rsidRPr="00BE53FB" w:rsidRDefault="00BE53FB" w:rsidP="00BE53FB">
      <w:pPr>
        <w:pStyle w:val="Zv-Author"/>
        <w:rPr>
          <w:lang w:val="en-US"/>
        </w:rPr>
      </w:pPr>
      <w:r w:rsidRPr="00BE53FB">
        <w:rPr>
          <w:vertAlign w:val="superscript"/>
          <w:lang w:val="en-US"/>
        </w:rPr>
        <w:t>1</w:t>
      </w:r>
      <w:r w:rsidRPr="00BE53FB">
        <w:rPr>
          <w:u w:val="single"/>
          <w:lang w:val="en-US"/>
        </w:rPr>
        <w:t>Drozdovsky A.</w:t>
      </w:r>
      <w:r w:rsidRPr="00BE53FB">
        <w:rPr>
          <w:lang w:val="en-US"/>
        </w:rPr>
        <w:t xml:space="preserve">, </w:t>
      </w:r>
      <w:r w:rsidRPr="00BE53FB">
        <w:rPr>
          <w:vertAlign w:val="superscript"/>
          <w:lang w:val="en-US"/>
        </w:rPr>
        <w:t>2</w:t>
      </w:r>
      <w:r w:rsidRPr="00BE53FB">
        <w:rPr>
          <w:lang w:val="en-US"/>
        </w:rPr>
        <w:t xml:space="preserve">Sasorov P., </w:t>
      </w:r>
      <w:r w:rsidRPr="00BE53FB">
        <w:rPr>
          <w:vertAlign w:val="superscript"/>
          <w:lang w:val="en-US"/>
        </w:rPr>
        <w:t>1</w:t>
      </w:r>
      <w:r w:rsidRPr="00BE53FB">
        <w:rPr>
          <w:lang w:val="en-US"/>
        </w:rPr>
        <w:t xml:space="preserve">Bogdanov A., </w:t>
      </w:r>
      <w:r w:rsidRPr="00BE53FB">
        <w:rPr>
          <w:vertAlign w:val="superscript"/>
          <w:lang w:val="en-US"/>
        </w:rPr>
        <w:t>1</w:t>
      </w:r>
      <w:r w:rsidRPr="00BE53FB">
        <w:rPr>
          <w:lang w:val="en-US"/>
        </w:rPr>
        <w:t xml:space="preserve">Drozdovsky S., </w:t>
      </w:r>
      <w:r w:rsidRPr="00BE53FB">
        <w:rPr>
          <w:vertAlign w:val="superscript"/>
          <w:lang w:val="en-US"/>
        </w:rPr>
        <w:t>1</w:t>
      </w:r>
      <w:r w:rsidRPr="00BE53FB">
        <w:rPr>
          <w:lang w:val="en-US"/>
        </w:rPr>
        <w:t xml:space="preserve">Gavrilin R., </w:t>
      </w:r>
      <w:r w:rsidRPr="00BE53FB">
        <w:rPr>
          <w:vertAlign w:val="superscript"/>
          <w:lang w:val="en-US"/>
        </w:rPr>
        <w:t>1</w:t>
      </w:r>
      <w:r w:rsidRPr="00BE53FB">
        <w:rPr>
          <w:lang w:val="en-US"/>
        </w:rPr>
        <w:t xml:space="preserve">Kantsyrev A., </w:t>
      </w:r>
      <w:r w:rsidRPr="00BE53FB">
        <w:rPr>
          <w:vertAlign w:val="superscript"/>
          <w:lang w:val="en-US"/>
        </w:rPr>
        <w:t>3</w:t>
      </w:r>
      <w:r w:rsidRPr="00BE53FB">
        <w:rPr>
          <w:lang w:val="en-US"/>
        </w:rPr>
        <w:t xml:space="preserve">Karpov M., </w:t>
      </w:r>
      <w:r w:rsidRPr="00BE53FB">
        <w:rPr>
          <w:vertAlign w:val="superscript"/>
          <w:lang w:val="en-US"/>
        </w:rPr>
        <w:t>1</w:t>
      </w:r>
      <w:r w:rsidRPr="00BE53FB">
        <w:rPr>
          <w:lang w:val="en-US"/>
        </w:rPr>
        <w:t xml:space="preserve">Panyushkin V., </w:t>
      </w:r>
      <w:r w:rsidRPr="00BE53FB">
        <w:rPr>
          <w:vertAlign w:val="superscript"/>
          <w:lang w:val="en-US"/>
        </w:rPr>
        <w:t>1</w:t>
      </w:r>
      <w:r w:rsidRPr="00BE53FB">
        <w:rPr>
          <w:lang w:val="en-US"/>
        </w:rPr>
        <w:t xml:space="preserve">Roudskoy I., </w:t>
      </w:r>
      <w:r w:rsidRPr="00BE53FB">
        <w:rPr>
          <w:vertAlign w:val="superscript"/>
          <w:lang w:val="en-US"/>
        </w:rPr>
        <w:t>1</w:t>
      </w:r>
      <w:r w:rsidRPr="00BE53FB">
        <w:rPr>
          <w:lang w:val="en-US"/>
        </w:rPr>
        <w:t>Savin S.</w:t>
      </w:r>
    </w:p>
    <w:p w:rsidR="00BE53FB" w:rsidRDefault="00BE53FB" w:rsidP="00BE53FB">
      <w:pPr>
        <w:pStyle w:val="Zv-Organization"/>
        <w:rPr>
          <w:lang w:val="en-US"/>
        </w:rPr>
      </w:pPr>
      <w:r w:rsidRPr="00BE53FB">
        <w:rPr>
          <w:vertAlign w:val="superscript"/>
          <w:lang w:val="en-US"/>
        </w:rPr>
        <w:t>1</w:t>
      </w:r>
      <w:r w:rsidRPr="00BE53FB">
        <w:rPr>
          <w:lang w:val="en-US"/>
        </w:rPr>
        <w:t xml:space="preserve">NRC «Kurchatov Institute» - ITEP, Moscow, Russia, </w:t>
      </w:r>
      <w:hyperlink r:id="rId8" w:history="1">
        <w:r w:rsidRPr="00BE53FB">
          <w:rPr>
            <w:rStyle w:val="a9"/>
            <w:lang w:val="en-US"/>
          </w:rPr>
          <w:t>drozdovsky@mail.ru</w:t>
        </w:r>
      </w:hyperlink>
      <w:r>
        <w:rPr>
          <w:lang w:val="en-US"/>
        </w:rPr>
        <w:br/>
      </w:r>
      <w:r w:rsidRPr="00BE53FB">
        <w:rPr>
          <w:vertAlign w:val="superscript"/>
          <w:lang w:val="en-US"/>
        </w:rPr>
        <w:t>2</w:t>
      </w:r>
      <w:r w:rsidRPr="00BE53FB">
        <w:rPr>
          <w:lang w:val="en-US"/>
        </w:rPr>
        <w:t xml:space="preserve">Keldysh Institute of Applied Mathematics, Moscow, Russia, </w:t>
      </w:r>
      <w:hyperlink r:id="rId9" w:history="1">
        <w:r w:rsidRPr="00043BB9">
          <w:rPr>
            <w:rStyle w:val="a9"/>
            <w:lang w:val="en-US"/>
          </w:rPr>
          <w:t>Pavel.Sasorov@gmail.com</w:t>
        </w:r>
      </w:hyperlink>
      <w:r>
        <w:rPr>
          <w:lang w:val="en-US"/>
        </w:rPr>
        <w:br/>
      </w:r>
      <w:r w:rsidRPr="00BE53FB">
        <w:rPr>
          <w:vertAlign w:val="superscript"/>
          <w:lang w:val="en-US"/>
        </w:rPr>
        <w:t>3</w:t>
      </w:r>
      <w:r w:rsidRPr="00BE53FB">
        <w:rPr>
          <w:lang w:val="en-US"/>
        </w:rPr>
        <w:t xml:space="preserve">RFNC-VNIIEF, Moscow, Sarov, </w:t>
      </w:r>
      <w:hyperlink r:id="rId10" w:history="1">
        <w:r w:rsidRPr="00043BB9">
          <w:rPr>
            <w:rStyle w:val="a9"/>
            <w:lang w:val="en-US"/>
          </w:rPr>
          <w:t>maksim.karpov@gmail.com</w:t>
        </w:r>
      </w:hyperlink>
    </w:p>
    <w:p w:rsidR="00BE53FB" w:rsidRPr="0089151C" w:rsidRDefault="00BE53FB" w:rsidP="00BE53FB">
      <w:pPr>
        <w:pStyle w:val="Zv-bodyreport"/>
        <w:rPr>
          <w:lang w:val="en-US"/>
        </w:rPr>
      </w:pPr>
      <w:r w:rsidRPr="0089151C">
        <w:rPr>
          <w:lang w:val="en-US"/>
        </w:rPr>
        <w:t>The study of the processes of breakdown, discharge development and formation of Z-pinch is the most important direction of plasma research. Typically, the discharge process begins with a breakdown on the surface of the discharge tube</w:t>
      </w:r>
      <w:r w:rsidRPr="004C0B3D">
        <w:rPr>
          <w:lang w:val="en-US"/>
        </w:rPr>
        <w:t xml:space="preserve"> </w:t>
      </w:r>
      <w:r w:rsidRPr="0089151C">
        <w:rPr>
          <w:lang w:val="en-US"/>
        </w:rPr>
        <w:t>after applying a high voltage to the tube. But it is also possible to initiate the discharge by injecting a beam of electrons along the axis of the discharge tube. The ITEF studies the discharge initiated by the electron beam. An experimental setup is including an electron beam source</w:t>
      </w:r>
      <w:r>
        <w:rPr>
          <w:lang w:val="en-US"/>
        </w:rPr>
        <w:t xml:space="preserve"> </w:t>
      </w:r>
      <w:r w:rsidRPr="0089151C">
        <w:rPr>
          <w:lang w:val="en-US"/>
        </w:rPr>
        <w:t>[1]</w:t>
      </w:r>
      <w:r>
        <w:rPr>
          <w:lang w:val="en-US"/>
        </w:rPr>
        <w:t>.</w:t>
      </w:r>
      <w:r w:rsidRPr="0089151C">
        <w:rPr>
          <w:lang w:val="en-US"/>
        </w:rPr>
        <w:t xml:space="preserve"> </w:t>
      </w:r>
      <w:r>
        <w:rPr>
          <w:lang w:val="en-US"/>
        </w:rPr>
        <w:t>A</w:t>
      </w:r>
      <w:r w:rsidRPr="0089151C">
        <w:rPr>
          <w:lang w:val="en-US"/>
        </w:rPr>
        <w:t xml:space="preserve">n electron energy </w:t>
      </w:r>
      <w:r>
        <w:rPr>
          <w:lang w:val="en-US"/>
        </w:rPr>
        <w:t>is</w:t>
      </w:r>
      <w:r w:rsidRPr="0089151C">
        <w:rPr>
          <w:lang w:val="en-US"/>
        </w:rPr>
        <w:t xml:space="preserve"> 250 Kev</w:t>
      </w:r>
      <w:r>
        <w:rPr>
          <w:lang w:val="en-US"/>
        </w:rPr>
        <w:t>,</w:t>
      </w:r>
      <w:r w:rsidRPr="0089151C">
        <w:rPr>
          <w:lang w:val="en-US"/>
        </w:rPr>
        <w:t xml:space="preserve"> a current </w:t>
      </w:r>
      <w:r>
        <w:rPr>
          <w:lang w:val="en-US"/>
        </w:rPr>
        <w:t>is</w:t>
      </w:r>
      <w:r w:rsidRPr="0089151C">
        <w:rPr>
          <w:lang w:val="en-US"/>
        </w:rPr>
        <w:t xml:space="preserve"> up to 100 A with a duration of up to 100 NS. The main method of observing the dynamics of the plasma discharge is the registration of its own plasma radiation from the middle section of the discharge tube</w:t>
      </w:r>
      <w:r w:rsidRPr="00FA7D52">
        <w:rPr>
          <w:lang w:val="en-US"/>
        </w:rPr>
        <w:t xml:space="preserve"> </w:t>
      </w:r>
      <w:r w:rsidRPr="0089151C">
        <w:rPr>
          <w:lang w:val="en-US"/>
        </w:rPr>
        <w:t>in th</w:t>
      </w:r>
      <w:r>
        <w:rPr>
          <w:lang w:val="en-US"/>
        </w:rPr>
        <w:t>e visible and ultraviolet range</w:t>
      </w:r>
      <w:r w:rsidRPr="0089151C">
        <w:rPr>
          <w:lang w:val="en-US"/>
        </w:rPr>
        <w:t xml:space="preserve">. The process of development of the discharge initiated by the electron beam differs significantly from the usual method of Z-pinch formation. Figures 1a and 1b shows a time sweep of the plasma luminosity during the first LC-period of discharge in an oxygen atmosphere at a pressure of </w:t>
      </w:r>
      <w:r>
        <w:rPr>
          <w:lang w:val="en-US"/>
        </w:rPr>
        <w:t>0,2</w:t>
      </w:r>
      <w:r w:rsidRPr="00344290">
        <w:rPr>
          <w:lang w:val="en-US"/>
        </w:rPr>
        <w:t>5</w:t>
      </w:r>
      <w:r w:rsidRPr="0089151C">
        <w:rPr>
          <w:lang w:val="en-US"/>
        </w:rPr>
        <w:t xml:space="preserve"> mbar and a discharge current of 40 kA.</w:t>
      </w:r>
      <w:r>
        <w:rPr>
          <w:lang w:val="en-US"/>
        </w:rPr>
        <w:t xml:space="preserve"> </w:t>
      </w:r>
      <w:r w:rsidRPr="003A4243">
        <w:rPr>
          <w:lang w:val="en-US"/>
        </w:rPr>
        <w:t>The quartz discharge tube has a length of 20 cm and a diameter of 4 cm.</w:t>
      </w:r>
      <w:r w:rsidRPr="0089151C">
        <w:rPr>
          <w:lang w:val="en-US"/>
        </w:rPr>
        <w:t xml:space="preserve"> Currently, we are developing a technique for recording discharge plasma radiation in the field of vacuum ultraviolet and soft x-rays, which significantly expands the energy range of research. Since this radiation is strongly absorbed in the air, a special vacuum channel was made</w:t>
      </w:r>
      <w:r>
        <w:rPr>
          <w:lang w:val="en-US"/>
        </w:rPr>
        <w:t xml:space="preserve"> </w:t>
      </w:r>
      <w:r w:rsidRPr="0089151C">
        <w:rPr>
          <w:lang w:val="en-US"/>
        </w:rPr>
        <w:t>in which the camera</w:t>
      </w:r>
      <w:r>
        <w:rPr>
          <w:lang w:val="en-US"/>
        </w:rPr>
        <w:t>-</w:t>
      </w:r>
      <w:r w:rsidRPr="0089151C">
        <w:rPr>
          <w:lang w:val="en-US"/>
        </w:rPr>
        <w:t>obscura technique is used to obtain an image of the studied discharge. The first debugging observations of vacuum ultr</w:t>
      </w:r>
      <w:r>
        <w:rPr>
          <w:lang w:val="en-US"/>
        </w:rPr>
        <w:t>aviolet and soft x-ray for 40 kA</w:t>
      </w:r>
      <w:r w:rsidRPr="0089151C">
        <w:rPr>
          <w:lang w:val="en-US"/>
        </w:rPr>
        <w:t xml:space="preserve"> discharge current at a pressure of </w:t>
      </w:r>
      <w:r>
        <w:rPr>
          <w:lang w:val="en-US"/>
        </w:rPr>
        <w:t>0,2</w:t>
      </w:r>
      <w:r w:rsidRPr="00344290">
        <w:rPr>
          <w:lang w:val="en-US"/>
        </w:rPr>
        <w:t>5</w:t>
      </w:r>
      <w:r w:rsidRPr="0089151C">
        <w:rPr>
          <w:lang w:val="en-US"/>
        </w:rPr>
        <w:t xml:space="preserve"> mbar were made. </w:t>
      </w:r>
      <w:r w:rsidRPr="009A05DD">
        <w:rPr>
          <w:lang w:val="en-US"/>
        </w:rPr>
        <w:t xml:space="preserve">As can be seen from the </w:t>
      </w:r>
      <w:r w:rsidRPr="0089151C">
        <w:rPr>
          <w:rFonts w:eastAsia="Calibri"/>
          <w:bCs/>
          <w:lang w:val="en-US"/>
        </w:rPr>
        <w:t>distribution</w:t>
      </w:r>
      <w:r>
        <w:rPr>
          <w:rFonts w:eastAsia="Calibri"/>
          <w:bCs/>
          <w:lang w:val="en-US"/>
        </w:rPr>
        <w:t xml:space="preserve">s </w:t>
      </w:r>
      <w:r w:rsidRPr="0089151C">
        <w:rPr>
          <w:lang w:val="en-US"/>
        </w:rPr>
        <w:t>(Fig. 2)</w:t>
      </w:r>
      <w:r w:rsidRPr="009A05DD">
        <w:rPr>
          <w:lang w:val="en-US"/>
        </w:rPr>
        <w:t>, the emission zone of hard z-pinch radiation is enclosed in a cylindrical region of half the diameter compared to the visible radiation.</w:t>
      </w:r>
    </w:p>
    <w:p w:rsidR="00BE53FB" w:rsidRPr="0089151C" w:rsidRDefault="00BE53FB" w:rsidP="00BE53FB">
      <w:pPr>
        <w:keepLines/>
        <w:suppressAutoHyphens/>
        <w:contextualSpacing/>
        <w:jc w:val="both"/>
        <w:rPr>
          <w:lang w:val="en-US"/>
        </w:rPr>
      </w:pPr>
    </w:p>
    <w:tbl>
      <w:tblPr>
        <w:tblpPr w:leftFromText="180" w:rightFromText="180" w:vertAnchor="text" w:tblpY="1"/>
        <w:tblOverlap w:val="never"/>
        <w:tblW w:w="0" w:type="auto"/>
        <w:tblLayout w:type="fixed"/>
        <w:tblLook w:val="04A0"/>
      </w:tblPr>
      <w:tblGrid>
        <w:gridCol w:w="5070"/>
      </w:tblGrid>
      <w:tr w:rsidR="00BE53FB" w:rsidRPr="0089151C" w:rsidTr="009C5759">
        <w:tc>
          <w:tcPr>
            <w:tcW w:w="5070" w:type="dxa"/>
            <w:shd w:val="clear" w:color="auto" w:fill="auto"/>
          </w:tcPr>
          <w:p w:rsidR="00BE53FB" w:rsidRPr="0089151C" w:rsidRDefault="00BE53FB" w:rsidP="009C5759">
            <w:pPr>
              <w:contextualSpacing/>
              <w:jc w:val="both"/>
              <w:rPr>
                <w:rFonts w:eastAsia="Calibri"/>
              </w:rPr>
            </w:pPr>
            <w:r w:rsidRPr="00610A93">
              <w:rPr>
                <w:rFonts w:eastAsia="Calibri"/>
                <w:noProof/>
              </w:rPr>
              <w:drawing>
                <wp:inline distT="0" distB="0" distL="0" distR="0">
                  <wp:extent cx="3143250" cy="752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752475"/>
                          </a:xfrm>
                          <a:prstGeom prst="rect">
                            <a:avLst/>
                          </a:prstGeom>
                          <a:noFill/>
                          <a:ln>
                            <a:noFill/>
                          </a:ln>
                        </pic:spPr>
                      </pic:pic>
                    </a:graphicData>
                  </a:graphic>
                </wp:inline>
              </w:drawing>
            </w:r>
          </w:p>
        </w:tc>
      </w:tr>
      <w:tr w:rsidR="00BE53FB" w:rsidRPr="00C22D9A" w:rsidTr="009C5759">
        <w:tc>
          <w:tcPr>
            <w:tcW w:w="5070" w:type="dxa"/>
            <w:shd w:val="clear" w:color="auto" w:fill="auto"/>
          </w:tcPr>
          <w:p w:rsidR="00BE53FB" w:rsidRPr="0089151C" w:rsidRDefault="00BE53FB" w:rsidP="009C5759">
            <w:pPr>
              <w:contextualSpacing/>
              <w:jc w:val="both"/>
              <w:rPr>
                <w:rFonts w:eastAsia="Calibri"/>
                <w:lang w:val="en-US"/>
              </w:rPr>
            </w:pPr>
            <w:r w:rsidRPr="0089151C">
              <w:rPr>
                <w:rFonts w:eastAsia="Calibri"/>
                <w:lang w:val="en-US"/>
              </w:rPr>
              <w:t xml:space="preserve">   </w:t>
            </w:r>
            <w:r w:rsidRPr="00BE53FB">
              <w:rPr>
                <w:rFonts w:eastAsia="Calibri"/>
                <w:sz w:val="22"/>
                <w:szCs w:val="22"/>
                <w:lang w:val="en-US"/>
              </w:rPr>
              <w:t>Fig. 1</w:t>
            </w:r>
            <w:r w:rsidRPr="00BE53FB">
              <w:rPr>
                <w:rFonts w:eastAsia="Calibri"/>
                <w:sz w:val="22"/>
                <w:szCs w:val="22"/>
              </w:rPr>
              <w:t>а</w:t>
            </w:r>
            <w:r w:rsidRPr="00BE53FB">
              <w:rPr>
                <w:rFonts w:eastAsia="Calibri"/>
                <w:sz w:val="22"/>
                <w:szCs w:val="22"/>
                <w:lang w:val="en-US"/>
              </w:rPr>
              <w:t xml:space="preserve">. </w:t>
            </w:r>
            <w:r w:rsidRPr="00BE53FB">
              <w:rPr>
                <w:sz w:val="22"/>
                <w:szCs w:val="22"/>
                <w:lang w:val="en-US"/>
              </w:rPr>
              <w:t xml:space="preserve"> </w:t>
            </w:r>
            <w:r w:rsidRPr="00BE53FB">
              <w:rPr>
                <w:rFonts w:eastAsia="Calibri"/>
                <w:sz w:val="22"/>
                <w:szCs w:val="22"/>
                <w:lang w:val="en-US"/>
              </w:rPr>
              <w:t xml:space="preserve">Scanning (6 msec) of discharge </w:t>
            </w:r>
            <w:r w:rsidRPr="00BE53FB">
              <w:rPr>
                <w:sz w:val="22"/>
                <w:szCs w:val="22"/>
                <w:lang w:val="en-US"/>
              </w:rPr>
              <w:t xml:space="preserve"> </w:t>
            </w:r>
            <w:r w:rsidRPr="00BE53FB">
              <w:rPr>
                <w:rFonts w:eastAsia="Calibri"/>
                <w:sz w:val="22"/>
                <w:szCs w:val="22"/>
                <w:lang w:val="en-US"/>
              </w:rPr>
              <w:t>luminosity at surface breakdown</w:t>
            </w:r>
            <w:r w:rsidRPr="0089151C">
              <w:rPr>
                <w:rFonts w:eastAsia="Calibri"/>
                <w:lang w:val="en-US"/>
              </w:rPr>
              <w:t>.</w:t>
            </w:r>
          </w:p>
        </w:tc>
      </w:tr>
      <w:tr w:rsidR="00BE53FB" w:rsidRPr="0089151C" w:rsidTr="009C5759">
        <w:tc>
          <w:tcPr>
            <w:tcW w:w="5070" w:type="dxa"/>
            <w:shd w:val="clear" w:color="auto" w:fill="auto"/>
          </w:tcPr>
          <w:p w:rsidR="00BE53FB" w:rsidRPr="0089151C" w:rsidRDefault="00BE53FB" w:rsidP="009C5759">
            <w:pPr>
              <w:contextualSpacing/>
              <w:jc w:val="both"/>
              <w:rPr>
                <w:rFonts w:eastAsia="Calibri"/>
              </w:rPr>
            </w:pPr>
            <w:r w:rsidRPr="00610A93">
              <w:rPr>
                <w:rFonts w:eastAsia="Calibri"/>
                <w:noProof/>
              </w:rPr>
              <w:drawing>
                <wp:inline distT="0" distB="0" distL="0" distR="0">
                  <wp:extent cx="3152775" cy="800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800100"/>
                          </a:xfrm>
                          <a:prstGeom prst="rect">
                            <a:avLst/>
                          </a:prstGeom>
                          <a:noFill/>
                          <a:ln>
                            <a:noFill/>
                          </a:ln>
                        </pic:spPr>
                      </pic:pic>
                    </a:graphicData>
                  </a:graphic>
                </wp:inline>
              </w:drawing>
            </w:r>
          </w:p>
        </w:tc>
      </w:tr>
      <w:tr w:rsidR="00BE53FB" w:rsidRPr="00C22D9A" w:rsidTr="009C5759">
        <w:tc>
          <w:tcPr>
            <w:tcW w:w="5070" w:type="dxa"/>
            <w:shd w:val="clear" w:color="auto" w:fill="auto"/>
          </w:tcPr>
          <w:p w:rsidR="00BE53FB" w:rsidRPr="0089151C" w:rsidRDefault="00BE53FB" w:rsidP="009C5759">
            <w:pPr>
              <w:contextualSpacing/>
              <w:jc w:val="both"/>
              <w:rPr>
                <w:rFonts w:eastAsia="Calibri"/>
                <w:lang w:val="en-US"/>
              </w:rPr>
            </w:pPr>
            <w:r w:rsidRPr="00BE53FB">
              <w:rPr>
                <w:rFonts w:eastAsia="Calibri"/>
                <w:sz w:val="22"/>
                <w:szCs w:val="22"/>
              </w:rPr>
              <w:t>Рис</w:t>
            </w:r>
            <w:r w:rsidRPr="00BE53FB">
              <w:rPr>
                <w:rFonts w:eastAsia="Calibri"/>
                <w:sz w:val="22"/>
                <w:szCs w:val="22"/>
                <w:lang w:val="en-US"/>
              </w:rPr>
              <w:t>.1</w:t>
            </w:r>
            <w:r w:rsidRPr="00BE53FB">
              <w:rPr>
                <w:rFonts w:eastAsia="Calibri"/>
                <w:sz w:val="22"/>
                <w:szCs w:val="22"/>
              </w:rPr>
              <w:t>в</w:t>
            </w:r>
            <w:r w:rsidRPr="00BE53FB">
              <w:rPr>
                <w:rFonts w:eastAsia="Calibri"/>
                <w:sz w:val="22"/>
                <w:szCs w:val="22"/>
                <w:lang w:val="en-US"/>
              </w:rPr>
              <w:t xml:space="preserve">. </w:t>
            </w:r>
            <w:r w:rsidRPr="00BE53FB">
              <w:rPr>
                <w:sz w:val="22"/>
                <w:szCs w:val="22"/>
                <w:lang w:val="en-US"/>
              </w:rPr>
              <w:t xml:space="preserve"> </w:t>
            </w:r>
            <w:r w:rsidRPr="00BE53FB">
              <w:rPr>
                <w:rFonts w:eastAsia="Calibri"/>
                <w:sz w:val="22"/>
                <w:szCs w:val="22"/>
                <w:lang w:val="en-US"/>
              </w:rPr>
              <w:t xml:space="preserve">Scan (6 msec) of the discharge </w:t>
            </w:r>
            <w:r w:rsidRPr="00BE53FB">
              <w:rPr>
                <w:sz w:val="22"/>
                <w:szCs w:val="22"/>
                <w:lang w:val="en-US"/>
              </w:rPr>
              <w:t xml:space="preserve"> </w:t>
            </w:r>
            <w:r w:rsidRPr="00BE53FB">
              <w:rPr>
                <w:rFonts w:eastAsia="Calibri"/>
                <w:sz w:val="22"/>
                <w:szCs w:val="22"/>
                <w:lang w:val="en-US"/>
              </w:rPr>
              <w:t>luminosity when initiating a breakdown by an electron beam</w:t>
            </w:r>
            <w:r w:rsidRPr="0089151C">
              <w:rPr>
                <w:rFonts w:eastAsia="Calibri"/>
                <w:lang w:val="en-US"/>
              </w:rPr>
              <w:t>.</w:t>
            </w:r>
          </w:p>
        </w:tc>
      </w:tr>
    </w:tbl>
    <w:tbl>
      <w:tblPr>
        <w:tblpPr w:leftFromText="180" w:rightFromText="180" w:vertAnchor="text" w:horzAnchor="margin" w:tblpXSpec="right" w:tblpY="146"/>
        <w:tblOverlap w:val="never"/>
        <w:tblW w:w="4148" w:type="dxa"/>
        <w:tblLook w:val="04A0"/>
      </w:tblPr>
      <w:tblGrid>
        <w:gridCol w:w="4148"/>
      </w:tblGrid>
      <w:tr w:rsidR="00BE53FB" w:rsidRPr="0089151C" w:rsidTr="009C5759">
        <w:trPr>
          <w:trHeight w:val="2745"/>
        </w:trPr>
        <w:tc>
          <w:tcPr>
            <w:tcW w:w="4148" w:type="dxa"/>
            <w:shd w:val="clear" w:color="auto" w:fill="auto"/>
          </w:tcPr>
          <w:p w:rsidR="00BE53FB" w:rsidRPr="0089151C" w:rsidRDefault="00BE53FB" w:rsidP="009C5759">
            <w:pPr>
              <w:jc w:val="both"/>
              <w:rPr>
                <w:rFonts w:eastAsia="Calibri"/>
                <w:bCs/>
                <w:lang w:val="en-US"/>
              </w:rPr>
            </w:pPr>
            <w:r>
              <w:object w:dxaOrig="408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13" o:title=""/>
                </v:shape>
                <o:OLEObject Type="Embed" ProgID="PBrush" ShapeID="_x0000_i1025" DrawAspect="Content" ObjectID="_1649170503" r:id="rId14"/>
              </w:object>
            </w:r>
          </w:p>
        </w:tc>
      </w:tr>
      <w:tr w:rsidR="00BE53FB" w:rsidRPr="00C22D9A" w:rsidTr="009C5759">
        <w:trPr>
          <w:trHeight w:val="153"/>
        </w:trPr>
        <w:tc>
          <w:tcPr>
            <w:tcW w:w="4148" w:type="dxa"/>
            <w:shd w:val="clear" w:color="auto" w:fill="auto"/>
          </w:tcPr>
          <w:p w:rsidR="00BE53FB" w:rsidRPr="00BE53FB" w:rsidRDefault="00091EE5" w:rsidP="009C5759">
            <w:pPr>
              <w:jc w:val="both"/>
              <w:rPr>
                <w:rFonts w:eastAsia="Calibri"/>
                <w:bCs/>
                <w:sz w:val="22"/>
                <w:szCs w:val="22"/>
                <w:lang w:val="en-US"/>
              </w:rPr>
            </w:pPr>
            <w:r>
              <w:rPr>
                <w:rFonts w:eastAsia="Calibri"/>
                <w:bCs/>
                <w:noProof/>
                <w:sz w:val="22"/>
                <w:szCs w:val="22"/>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127.05pt;margin-top:35.75pt;width:15.0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"/>
              </w:pict>
            </w:r>
            <w:r w:rsidR="00BE53FB" w:rsidRPr="00BE53FB">
              <w:rPr>
                <w:rFonts w:eastAsia="Calibri"/>
                <w:bCs/>
                <w:sz w:val="22"/>
                <w:szCs w:val="22"/>
                <w:lang w:val="en-US"/>
              </w:rPr>
              <w:t>Fig. 2. The radial distribution of emitters for the visible region – (---) and the region with</w:t>
            </w:r>
            <w:r w:rsidR="00BE53FB" w:rsidRPr="00BE53FB">
              <w:rPr>
                <w:sz w:val="22"/>
                <w:szCs w:val="22"/>
                <w:lang w:val="en-US" w:eastAsia="en-US"/>
              </w:rPr>
              <w:t xml:space="preserve"> </w:t>
            </w:r>
            <w:r w:rsidR="00BE53FB" w:rsidRPr="00BE53FB">
              <w:rPr>
                <w:rFonts w:eastAsia="Calibri"/>
                <w:bCs/>
                <w:sz w:val="22"/>
                <w:szCs w:val="22"/>
              </w:rPr>
              <w:t>λ</w:t>
            </w:r>
            <w:r w:rsidR="00BE53FB" w:rsidRPr="00BE53FB">
              <w:rPr>
                <w:rFonts w:eastAsia="Calibri"/>
                <w:bCs/>
                <w:sz w:val="22"/>
                <w:szCs w:val="22"/>
                <w:lang w:val="en-US"/>
              </w:rPr>
              <w:t xml:space="preserve">&lt; 200 </w:t>
            </w:r>
            <w:r w:rsidR="00BE53FB" w:rsidRPr="00BE53FB">
              <w:rPr>
                <w:rFonts w:eastAsia="Calibri"/>
                <w:bCs/>
                <w:sz w:val="22"/>
                <w:szCs w:val="22"/>
              </w:rPr>
              <w:t>нм</w:t>
            </w:r>
            <w:r w:rsidR="00BE53FB" w:rsidRPr="00BE53FB">
              <w:rPr>
                <w:rFonts w:eastAsia="Calibri"/>
                <w:bCs/>
                <w:sz w:val="22"/>
                <w:szCs w:val="22"/>
                <w:lang w:val="en-US"/>
              </w:rPr>
              <w:t xml:space="preserve"> – (       ).</w:t>
            </w:r>
          </w:p>
        </w:tc>
      </w:tr>
    </w:tbl>
    <w:p w:rsidR="00BE53FB" w:rsidRPr="0089151C" w:rsidRDefault="00BE53FB" w:rsidP="00BE53FB">
      <w:pPr>
        <w:keepLines/>
        <w:suppressAutoHyphens/>
        <w:contextualSpacing/>
        <w:jc w:val="both"/>
        <w:rPr>
          <w:color w:val="000000"/>
          <w:lang w:val="en-US"/>
        </w:rPr>
      </w:pPr>
    </w:p>
    <w:p w:rsidR="00BE53FB" w:rsidRPr="00C871FE" w:rsidRDefault="00BE53FB" w:rsidP="00BE53FB">
      <w:pPr>
        <w:pStyle w:val="Zv-bodyreport"/>
        <w:rPr>
          <w:lang w:val="en-US" w:eastAsia="en-US"/>
        </w:rPr>
      </w:pPr>
      <w:r w:rsidRPr="00C871FE">
        <w:rPr>
          <w:lang w:val="en-US" w:eastAsia="en-US"/>
        </w:rPr>
        <w:t>The work is executed at support of RFBR, grant 18-02-01187.</w:t>
      </w:r>
    </w:p>
    <w:p w:rsidR="00BE53FB" w:rsidRPr="0089151C" w:rsidRDefault="00BE53FB" w:rsidP="00BE53FB">
      <w:pPr>
        <w:pStyle w:val="Zv-TitleReferences-en"/>
        <w:rPr>
          <w:lang w:val="en-US"/>
        </w:rPr>
      </w:pPr>
      <w:r w:rsidRPr="00BE53FB">
        <w:t>References</w:t>
      </w:r>
    </w:p>
    <w:p w:rsidR="00BE53FB" w:rsidRPr="0089151C" w:rsidRDefault="00BE53FB" w:rsidP="00BE53FB">
      <w:pPr>
        <w:pStyle w:val="Zv-References-en"/>
        <w:rPr>
          <w:i/>
        </w:rPr>
      </w:pPr>
      <w:r w:rsidRPr="0089151C">
        <w:t>A.A. Drozdovsky, A.V. Bogdanov, R.O. Gavrilin, S.A. Drozdovsky, A.V. Kantsyrev, I.V. Roudskoy, S.M. Savin, P.V. Sasorov, V.V. Yanenko. The Research of the Plasma of Z-Pinch Initiated by the Electron Beam. Physics of Particles and Nuclei Letters, 2018, Vol. 15, No. 7.</w:t>
      </w:r>
    </w:p>
    <w:sectPr w:rsidR="00BE53FB" w:rsidRPr="0089151C" w:rsidSect="00F95123">
      <w:headerReference w:type="default" r:id="rId15"/>
      <w:footerReference w:type="even" r:id="rId16"/>
      <w:footerReference w:type="default" r:id="rId1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1E0" w:rsidRDefault="007E71E0">
      <w:r>
        <w:separator/>
      </w:r>
    </w:p>
  </w:endnote>
  <w:endnote w:type="continuationSeparator" w:id="0">
    <w:p w:rsidR="007E71E0" w:rsidRDefault="007E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1EE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1EE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872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1E0" w:rsidRDefault="007E71E0">
      <w:r>
        <w:separator/>
      </w:r>
    </w:p>
  </w:footnote>
  <w:footnote w:type="continuationSeparator" w:id="0">
    <w:p w:rsidR="007E71E0" w:rsidRDefault="007E71E0">
      <w:r>
        <w:continuationSeparator/>
      </w:r>
    </w:p>
  </w:footnote>
  <w:footnote w:id="1">
    <w:p w:rsidR="00C22D9A" w:rsidRPr="00C22D9A" w:rsidRDefault="00C22D9A">
      <w:pPr>
        <w:pStyle w:val="aa"/>
        <w:rPr>
          <w:sz w:val="22"/>
          <w:szCs w:val="22"/>
          <w:lang w:val="en-US"/>
        </w:rPr>
      </w:pPr>
      <w:r w:rsidRPr="00C22D9A">
        <w:rPr>
          <w:rStyle w:val="ac"/>
          <w:sz w:val="22"/>
          <w:szCs w:val="22"/>
          <w:lang w:val="en-US"/>
        </w:rPr>
        <w:t>*)</w:t>
      </w:r>
      <w:r w:rsidRPr="00C22D9A">
        <w:rPr>
          <w:sz w:val="22"/>
          <w:szCs w:val="22"/>
          <w:lang w:val="en-US"/>
        </w:rPr>
        <w:t xml:space="preserve">  </w:t>
      </w:r>
      <w:hyperlink r:id="rId1" w:history="1">
        <w:r w:rsidRPr="00287220">
          <w:rPr>
            <w:rStyle w:val="a9"/>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91EE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E71E0"/>
    <w:rsid w:val="00043701"/>
    <w:rsid w:val="00091EE5"/>
    <w:rsid w:val="000C657D"/>
    <w:rsid w:val="000C7078"/>
    <w:rsid w:val="000D76E9"/>
    <w:rsid w:val="000E495B"/>
    <w:rsid w:val="001C0CCB"/>
    <w:rsid w:val="00205708"/>
    <w:rsid w:val="00220629"/>
    <w:rsid w:val="0023083F"/>
    <w:rsid w:val="00247225"/>
    <w:rsid w:val="0028722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7E71E0"/>
    <w:rsid w:val="00802D35"/>
    <w:rsid w:val="008306AF"/>
    <w:rsid w:val="008520F9"/>
    <w:rsid w:val="008850EF"/>
    <w:rsid w:val="00906FF7"/>
    <w:rsid w:val="00955F03"/>
    <w:rsid w:val="00AE6185"/>
    <w:rsid w:val="00B622ED"/>
    <w:rsid w:val="00B9584E"/>
    <w:rsid w:val="00BE53FB"/>
    <w:rsid w:val="00C103CD"/>
    <w:rsid w:val="00C22D9A"/>
    <w:rsid w:val="00C232A0"/>
    <w:rsid w:val="00C5751F"/>
    <w:rsid w:val="00D47F19"/>
    <w:rsid w:val="00D900FB"/>
    <w:rsid w:val="00D92E54"/>
    <w:rsid w:val="00E118BE"/>
    <w:rsid w:val="00E7021A"/>
    <w:rsid w:val="00E87733"/>
    <w:rsid w:val="00EE371E"/>
    <w:rsid w:val="00EF07A9"/>
    <w:rsid w:val="00F722F5"/>
    <w:rsid w:val="00F74399"/>
    <w:rsid w:val="00F95123"/>
    <w:rsid w:val="00FE194C"/>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3F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BE53FB"/>
    <w:rPr>
      <w:rFonts w:ascii="Tahoma" w:hAnsi="Tahoma" w:cs="Tahoma"/>
      <w:sz w:val="16"/>
      <w:szCs w:val="16"/>
    </w:rPr>
  </w:style>
  <w:style w:type="character" w:customStyle="1" w:styleId="a8">
    <w:name w:val="Текст выноски Знак"/>
    <w:basedOn w:val="a0"/>
    <w:link w:val="a7"/>
    <w:rsid w:val="00BE53FB"/>
    <w:rPr>
      <w:rFonts w:ascii="Tahoma" w:hAnsi="Tahoma" w:cs="Tahoma"/>
      <w:sz w:val="16"/>
      <w:szCs w:val="16"/>
    </w:rPr>
  </w:style>
  <w:style w:type="character" w:styleId="a9">
    <w:name w:val="Hyperlink"/>
    <w:basedOn w:val="a0"/>
    <w:rsid w:val="00BE53FB"/>
    <w:rPr>
      <w:color w:val="0000FF" w:themeColor="hyperlink"/>
      <w:u w:val="single"/>
    </w:rPr>
  </w:style>
  <w:style w:type="paragraph" w:styleId="aa">
    <w:name w:val="footnote text"/>
    <w:basedOn w:val="a"/>
    <w:link w:val="ab"/>
    <w:rsid w:val="00C22D9A"/>
    <w:rPr>
      <w:sz w:val="20"/>
      <w:szCs w:val="20"/>
    </w:rPr>
  </w:style>
  <w:style w:type="character" w:customStyle="1" w:styleId="ab">
    <w:name w:val="Текст сноски Знак"/>
    <w:basedOn w:val="a0"/>
    <w:link w:val="aa"/>
    <w:rsid w:val="00C22D9A"/>
  </w:style>
  <w:style w:type="character" w:styleId="ac">
    <w:name w:val="footnote reference"/>
    <w:basedOn w:val="a0"/>
    <w:rsid w:val="00C22D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zdovsky@mail.r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ksim.karpov@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Sasorov@gmail.com" TargetMode="Externa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K-Drozdo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51DD-0F98-433D-9D56-534BF0FD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13</TotalTime>
  <Pages>1</Pages>
  <Words>474</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Z-PINCH STUDY WITH ELECTRON BEAM DISCHARGE INITIATION</dc:title>
  <dc:creator>sato</dc:creator>
  <cp:lastModifiedBy>Сатунин</cp:lastModifiedBy>
  <cp:revision>3</cp:revision>
  <cp:lastPrinted>1601-01-01T00:00:00Z</cp:lastPrinted>
  <dcterms:created xsi:type="dcterms:W3CDTF">2020-02-20T12:08:00Z</dcterms:created>
  <dcterms:modified xsi:type="dcterms:W3CDTF">2020-04-23T15:09:00Z</dcterms:modified>
</cp:coreProperties>
</file>