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31" w:rsidRPr="00F21188" w:rsidRDefault="0034695A" w:rsidP="00A91A31">
      <w:pPr>
        <w:pStyle w:val="Zv-Titlereport"/>
        <w:rPr>
          <w:lang w:val="en-US"/>
        </w:rPr>
      </w:pPr>
      <w:r w:rsidRPr="0034695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.85pt;margin-top:-24.4pt;width:192pt;height:26.25pt;z-index:-251656192;mso-position-horizontal:absolute" stroked="f" strokecolor="red">
            <v:textbox style="mso-next-textbox:#_x0000_s1030">
              <w:txbxContent>
                <w:p w:rsidR="0034695A" w:rsidRPr="0095603D" w:rsidRDefault="0034695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4695A">
                    <w:rPr>
                      <w:sz w:val="22"/>
                      <w:szCs w:val="22"/>
                    </w:rPr>
                    <w:t>10.34854/ICPAF.2020.47.1.101</w:t>
                  </w:r>
                </w:p>
              </w:txbxContent>
            </v:textbox>
            <w10:anchorlock/>
          </v:shape>
        </w:pict>
      </w:r>
      <w:r w:rsidR="00A91A31">
        <w:rPr>
          <w:lang w:val="en-US"/>
        </w:rPr>
        <w:t>Atomic number similarity law</w:t>
      </w:r>
      <w:r w:rsidR="00A91A31" w:rsidRPr="00A91A31">
        <w:rPr>
          <w:lang w:val="en-US"/>
        </w:rPr>
        <w:t xml:space="preserve"> </w:t>
      </w:r>
      <w:r w:rsidR="00A91A31">
        <w:rPr>
          <w:lang w:val="en-US"/>
        </w:rPr>
        <w:t>in inner electron shells of atoms</w:t>
      </w:r>
      <w:r w:rsidR="00563FF3">
        <w:rPr>
          <w:lang w:val="en-US"/>
        </w:rPr>
        <w:t xml:space="preserve"> </w:t>
      </w:r>
      <w:r w:rsidR="00563FF3">
        <w:rPr>
          <w:rStyle w:val="ac"/>
          <w:lang w:val="en-US"/>
        </w:rPr>
        <w:footnoteReference w:customMarkFollows="1" w:id="1"/>
        <w:t>*)</w:t>
      </w:r>
    </w:p>
    <w:p w:rsidR="00A91A31" w:rsidRDefault="00A91A31" w:rsidP="00A91A31">
      <w:pPr>
        <w:pStyle w:val="Zv-Author"/>
        <w:rPr>
          <w:lang w:val="en-US"/>
        </w:rPr>
      </w:pPr>
      <w:r>
        <w:rPr>
          <w:lang w:val="en-US"/>
        </w:rPr>
        <w:t>Shpatakovskaya G.V.</w:t>
      </w:r>
    </w:p>
    <w:p w:rsidR="00A91A31" w:rsidRDefault="00A91A31" w:rsidP="00A91A31">
      <w:pPr>
        <w:pStyle w:val="Zv-Organization"/>
        <w:rPr>
          <w:lang w:val="en-US"/>
        </w:rPr>
      </w:pPr>
      <w:r>
        <w:rPr>
          <w:lang w:val="en-US"/>
        </w:rPr>
        <w:t xml:space="preserve">KIAM RAS, RF, Moscow, </w:t>
      </w:r>
      <w:hyperlink r:id="rId8" w:history="1">
        <w:r>
          <w:rPr>
            <w:rStyle w:val="a7"/>
            <w:lang w:val="en-US"/>
          </w:rPr>
          <w:t>shpagalya@yandex.ru</w:t>
        </w:r>
      </w:hyperlink>
    </w:p>
    <w:p w:rsidR="00A91A31" w:rsidRDefault="00A91A31" w:rsidP="00A91A31">
      <w:pPr>
        <w:pStyle w:val="Zv-bodyreport"/>
        <w:rPr>
          <w:lang w:val="en-US"/>
        </w:rPr>
      </w:pPr>
      <w:r>
        <w:rPr>
          <w:lang w:val="en-US"/>
        </w:rPr>
        <w:t xml:space="preserve">Experimental data on electron binding energies in the inner shells of natural elements [1] are analyzed using semi-classical relations for electron levels in the spherical Thomas-Fermi atom. The analysis accouns for relativistic effects and shows an atomic number similarity different from the Moseley law. Most measurements in an electron single shell </w:t>
      </w:r>
      <w:r w:rsidRPr="00563FF3">
        <w:rPr>
          <w:lang w:val="en-US"/>
        </w:rPr>
        <w:t>processed according to the algorithm (1) form monotone dependences</w:t>
      </w:r>
      <w:r w:rsidRPr="00F21188">
        <w:rPr>
          <w:position w:val="-16"/>
        </w:rPr>
        <w:object w:dxaOrig="30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8.75pt" o:ole="">
            <v:imagedata r:id="rId9" o:title=""/>
          </v:shape>
          <o:OLEObject Type="Embed" ProgID="Equation.3" ShapeID="_x0000_i1025" DrawAspect="Content" ObjectID="_1649169121" r:id="rId10"/>
        </w:object>
      </w:r>
      <w:r>
        <w:rPr>
          <w:lang w:val="en-US"/>
        </w:rPr>
        <w:t xml:space="preserve">. The </w:t>
      </w:r>
      <w:r w:rsidRPr="00563FF3">
        <w:rPr>
          <w:lang w:val="en-US"/>
        </w:rPr>
        <w:t xml:space="preserve">dependence examples are demonstrated in figures 1 and 2 for the </w:t>
      </w:r>
      <w:r>
        <w:rPr>
          <w:i/>
          <w:lang w:val="en-US"/>
        </w:rPr>
        <w:t>K</w:t>
      </w:r>
      <w:r>
        <w:rPr>
          <w:lang w:val="en-US"/>
        </w:rPr>
        <w:t>,</w:t>
      </w:r>
      <w:r>
        <w:rPr>
          <w:i/>
          <w:lang w:val="en-US"/>
        </w:rPr>
        <w:t xml:space="preserve"> L</w:t>
      </w:r>
      <w:r>
        <w:rPr>
          <w:lang w:val="en-US"/>
        </w:rPr>
        <w:t>,</w:t>
      </w:r>
      <w:r>
        <w:rPr>
          <w:i/>
          <w:lang w:val="en-US"/>
        </w:rPr>
        <w:t xml:space="preserve"> N </w:t>
      </w:r>
      <w:r>
        <w:rPr>
          <w:lang w:val="en-US"/>
        </w:rPr>
        <w:t>shells</w:t>
      </w:r>
      <w:r w:rsidRPr="00563FF3">
        <w:rPr>
          <w:lang w:val="en-US"/>
        </w:rPr>
        <w:t>.</w:t>
      </w:r>
    </w:p>
    <w:p w:rsidR="00A91A31" w:rsidRDefault="00A91A31" w:rsidP="00A91A31">
      <w:pPr>
        <w:pStyle w:val="Zv-formula"/>
        <w:tabs>
          <w:tab w:val="clear" w:pos="3960"/>
          <w:tab w:val="center" w:pos="4536"/>
        </w:tabs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722085">
        <w:rPr>
          <w:position w:val="-16"/>
        </w:rPr>
        <w:object w:dxaOrig="7520" w:dyaOrig="480">
          <v:shape id="_x0000_i1026" type="#_x0000_t75" style="width:367.5pt;height:23.25pt" o:ole="">
            <v:imagedata r:id="rId11" o:title=""/>
          </v:shape>
          <o:OLEObject Type="Embed" ProgID="Equation.3" ShapeID="_x0000_i1026" DrawAspect="Content" ObjectID="_1649169122" r:id="rId12"/>
        </w:object>
      </w:r>
      <w:r>
        <w:rPr>
          <w:lang w:val="en-US"/>
        </w:rPr>
        <w:t xml:space="preserve"> </w:t>
      </w:r>
      <w:r>
        <w:rPr>
          <w:lang w:val="en-US"/>
        </w:rPr>
        <w:tab/>
        <w:t>(1)</w:t>
      </w:r>
    </w:p>
    <w:p w:rsidR="00A91A31" w:rsidRPr="00A91A31" w:rsidRDefault="00A91A31" w:rsidP="00A91A31">
      <w:pPr>
        <w:pStyle w:val="Zv-bodyreportcont"/>
        <w:rPr>
          <w:lang w:val="en-US"/>
        </w:rPr>
      </w:pPr>
      <w:r w:rsidRPr="00563FF3">
        <w:rPr>
          <w:lang w:val="en-US"/>
        </w:rPr>
        <w:t xml:space="preserve">Deviation from the </w:t>
      </w:r>
      <w:r w:rsidRPr="00667CF6">
        <w:rPr>
          <w:lang w:val="en-US"/>
        </w:rPr>
        <w:t>general</w:t>
      </w:r>
      <w:r w:rsidRPr="00563FF3">
        <w:rPr>
          <w:lang w:val="en-US"/>
        </w:rPr>
        <w:t xml:space="preserve"> dependence for the </w:t>
      </w:r>
      <w:r w:rsidRPr="00667CF6">
        <w:rPr>
          <w:i/>
          <w:lang w:val="en-US"/>
        </w:rPr>
        <w:t>K</w:t>
      </w:r>
      <w:r w:rsidRPr="00667CF6">
        <w:rPr>
          <w:lang w:val="en-US"/>
        </w:rPr>
        <w:t xml:space="preserve"> and</w:t>
      </w:r>
      <w:r w:rsidRPr="00667CF6">
        <w:rPr>
          <w:i/>
          <w:lang w:val="en-US"/>
        </w:rPr>
        <w:t xml:space="preserve"> L</w:t>
      </w:r>
      <w:r w:rsidRPr="00667CF6">
        <w:rPr>
          <w:lang w:val="en-US"/>
        </w:rPr>
        <w:t xml:space="preserve"> x-ray terms (Fig.1)  [2] </w:t>
      </w:r>
      <w:r w:rsidRPr="00563FF3">
        <w:rPr>
          <w:lang w:val="en-US"/>
        </w:rPr>
        <w:t>does not exceed 1</w:t>
      </w:r>
      <w:r w:rsidRPr="00A91A31">
        <w:rPr>
          <w:lang w:val="en-US"/>
        </w:rPr>
        <w:t xml:space="preserve">% and so a greater deviation indicates </w:t>
      </w:r>
      <w:r w:rsidRPr="00667CF6">
        <w:rPr>
          <w:lang w:val="en-US"/>
        </w:rPr>
        <w:t xml:space="preserve">measurement </w:t>
      </w:r>
      <w:r w:rsidRPr="00563FF3">
        <w:rPr>
          <w:lang w:val="en-US"/>
        </w:rPr>
        <w:t>error. More complex dependencies manifest themselves in other shells, illustrating the features of transition elements</w:t>
      </w:r>
      <w:r w:rsidRPr="00A91A31">
        <w:rPr>
          <w:lang w:val="en-US"/>
        </w:rPr>
        <w:t xml:space="preserve"> </w:t>
      </w:r>
      <w:r w:rsidRPr="00667CF6">
        <w:rPr>
          <w:lang w:val="en-US"/>
        </w:rPr>
        <w:t xml:space="preserve">(see Fig.2). </w:t>
      </w:r>
      <w:r w:rsidRPr="00563FF3">
        <w:rPr>
          <w:lang w:val="en-US"/>
        </w:rPr>
        <w:t>In this case, deviations are also likely to indicate experimental errors.</w:t>
      </w:r>
    </w:p>
    <w:p w:rsidR="00A91A31" w:rsidRPr="006A2C7B" w:rsidRDefault="00A91A31" w:rsidP="00A91A31">
      <w:pPr>
        <w:pStyle w:val="Zv-bodyreport"/>
        <w:rPr>
          <w:lang w:val="en-US"/>
        </w:rPr>
      </w:pPr>
      <w:r>
        <w:rPr>
          <w:lang w:val="en-US"/>
        </w:rPr>
        <w:t xml:space="preserve">Theoretical computation results analysis </w:t>
      </w:r>
      <w:r w:rsidRPr="00563FF3">
        <w:rPr>
          <w:lang w:val="en-US"/>
        </w:rPr>
        <w:t>demonstrates similar patterns</w:t>
      </w:r>
      <w:r w:rsidRPr="00FF0CE5">
        <w:rPr>
          <w:lang w:val="en-US"/>
        </w:rPr>
        <w:t xml:space="preserve"> but in this case their violations are associated with the features of filling </w:t>
      </w:r>
      <w:r w:rsidRPr="00722085">
        <w:rPr>
          <w:position w:val="-6"/>
        </w:rPr>
        <w:object w:dxaOrig="600" w:dyaOrig="300">
          <v:shape id="_x0000_i1027" type="#_x0000_t75" style="width:30pt;height:15pt" o:ole="">
            <v:imagedata r:id="rId13" o:title=""/>
          </v:shape>
          <o:OLEObject Type="Embed" ProgID="Equation.3" ShapeID="_x0000_i1027" DrawAspect="Content" ObjectID="_1649169123" r:id="rId14"/>
        </w:object>
      </w:r>
      <w:r>
        <w:rPr>
          <w:lang w:val="en-US"/>
        </w:rPr>
        <w:t xml:space="preserve"> and </w:t>
      </w:r>
      <w:r w:rsidRPr="00722085">
        <w:rPr>
          <w:position w:val="-6"/>
        </w:rPr>
        <w:object w:dxaOrig="580" w:dyaOrig="300">
          <v:shape id="_x0000_i1028" type="#_x0000_t75" style="width:29.25pt;height:15pt" o:ole="">
            <v:imagedata r:id="rId15" o:title=""/>
          </v:shape>
          <o:OLEObject Type="Embed" ProgID="Equation.3" ShapeID="_x0000_i1028" DrawAspect="Content" ObjectID="_1649169124" r:id="rId16"/>
        </w:object>
      </w:r>
      <w:r w:rsidRPr="00563FF3">
        <w:rPr>
          <w:lang w:val="en-US"/>
        </w:rPr>
        <w:t>states</w:t>
      </w:r>
      <w:r w:rsidRPr="00FF0CE5">
        <w:rPr>
          <w:lang w:val="en-US"/>
        </w:rPr>
        <w:t xml:space="preserve"> in the transition elements.</w:t>
      </w:r>
    </w:p>
    <w:tbl>
      <w:tblPr>
        <w:tblW w:w="6316" w:type="dxa"/>
        <w:jc w:val="center"/>
        <w:tblLook w:val="01E0"/>
      </w:tblPr>
      <w:tblGrid>
        <w:gridCol w:w="3038"/>
        <w:gridCol w:w="3278"/>
      </w:tblGrid>
      <w:tr w:rsidR="00A91A31" w:rsidRPr="008E77B9" w:rsidTr="00642E2B">
        <w:trPr>
          <w:trHeight w:val="2571"/>
          <w:jc w:val="center"/>
        </w:trPr>
        <w:tc>
          <w:tcPr>
            <w:tcW w:w="3038" w:type="dxa"/>
          </w:tcPr>
          <w:p w:rsidR="00A91A31" w:rsidRDefault="00A91A31" w:rsidP="00642E2B">
            <w:pPr>
              <w:pStyle w:val="Zv-bodyreport"/>
              <w:ind w:firstLine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619250" cy="1438275"/>
                  <wp:effectExtent l="19050" t="0" r="0" b="0"/>
                  <wp:docPr id="5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</w:tcPr>
          <w:p w:rsidR="00A91A31" w:rsidRDefault="00A91A31" w:rsidP="00642E2B">
            <w:pPr>
              <w:pStyle w:val="Zv-bodyreport"/>
              <w:ind w:firstLine="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619250" cy="1438275"/>
                  <wp:effectExtent l="19050" t="0" r="0" b="0"/>
                  <wp:docPr id="6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A31" w:rsidRPr="008E77B9" w:rsidTr="00642E2B">
        <w:trPr>
          <w:trHeight w:val="268"/>
          <w:jc w:val="center"/>
        </w:trPr>
        <w:tc>
          <w:tcPr>
            <w:tcW w:w="0" w:type="auto"/>
          </w:tcPr>
          <w:p w:rsidR="00A91A31" w:rsidRPr="008E77B9" w:rsidRDefault="00A91A31" w:rsidP="00642E2B">
            <w:pPr>
              <w:pStyle w:val="Zv-bodyreport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8E77B9">
              <w:rPr>
                <w:sz w:val="20"/>
                <w:szCs w:val="20"/>
                <w:lang w:val="en-US" w:eastAsia="en-US"/>
              </w:rPr>
              <w:t>Fig</w:t>
            </w:r>
            <w:r w:rsidRPr="008E77B9"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0" w:type="auto"/>
            <w:vAlign w:val="center"/>
          </w:tcPr>
          <w:p w:rsidR="00A91A31" w:rsidRPr="008E77B9" w:rsidRDefault="00A91A31" w:rsidP="00642E2B">
            <w:pPr>
              <w:pStyle w:val="Zv-bodyreport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8E77B9">
              <w:rPr>
                <w:sz w:val="20"/>
                <w:szCs w:val="20"/>
                <w:lang w:val="en-US" w:eastAsia="en-US"/>
              </w:rPr>
              <w:t>Fig</w:t>
            </w:r>
            <w:r w:rsidRPr="008E77B9">
              <w:rPr>
                <w:sz w:val="20"/>
                <w:szCs w:val="20"/>
                <w:lang w:eastAsia="en-US"/>
              </w:rPr>
              <w:t>.2</w:t>
            </w:r>
          </w:p>
        </w:tc>
      </w:tr>
    </w:tbl>
    <w:p w:rsidR="00A91A31" w:rsidRDefault="00A91A31" w:rsidP="00A91A31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91A31" w:rsidRDefault="00A91A31" w:rsidP="00A91A31">
      <w:pPr>
        <w:pStyle w:val="Zv-References-en"/>
      </w:pPr>
      <w:r>
        <w:t xml:space="preserve">A. Tompson et al, </w:t>
      </w:r>
      <w:r>
        <w:rPr>
          <w:i/>
        </w:rPr>
        <w:t>X-RAY DATA BOOKLET</w:t>
      </w:r>
      <w:r>
        <w:t xml:space="preserve">, Center for X-ray Optics and Advanced Light Source (Lawrence Berkeley National Laboratory, update October 2009); </w:t>
      </w:r>
      <w:hyperlink r:id="rId19" w:history="1">
        <w:r>
          <w:rPr>
            <w:rStyle w:val="a7"/>
          </w:rPr>
          <w:t>http://xdb.lbl.gov/</w:t>
        </w:r>
      </w:hyperlink>
    </w:p>
    <w:p w:rsidR="00A91A31" w:rsidRDefault="00A91A31" w:rsidP="00A91A31">
      <w:pPr>
        <w:pStyle w:val="Zv-References-en"/>
      </w:pPr>
      <w:r>
        <w:t xml:space="preserve">G.V. Shpatakovskaya  </w:t>
      </w:r>
      <w:r>
        <w:rPr>
          <w:i/>
        </w:rPr>
        <w:t>JETP Lett.</w:t>
      </w:r>
      <w:r>
        <w:t xml:space="preserve"> </w:t>
      </w:r>
      <w:r>
        <w:rPr>
          <w:b/>
        </w:rPr>
        <w:t>108</w:t>
      </w:r>
      <w:r>
        <w:t xml:space="preserve"> 768 (2018)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20"/>
      <w:footerReference w:type="even" r:id="rId21"/>
      <w:footerReference w:type="default" r:id="rId2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D4" w:rsidRDefault="00A27CD4">
      <w:r>
        <w:separator/>
      </w:r>
    </w:p>
  </w:endnote>
  <w:endnote w:type="continuationSeparator" w:id="0">
    <w:p w:rsidR="00A27CD4" w:rsidRDefault="00A27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6E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6E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695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D4" w:rsidRDefault="00A27CD4">
      <w:r>
        <w:separator/>
      </w:r>
    </w:p>
  </w:footnote>
  <w:footnote w:type="continuationSeparator" w:id="0">
    <w:p w:rsidR="00A27CD4" w:rsidRDefault="00A27CD4">
      <w:r>
        <w:continuationSeparator/>
      </w:r>
    </w:p>
  </w:footnote>
  <w:footnote w:id="1">
    <w:p w:rsidR="00563FF3" w:rsidRPr="00563FF3" w:rsidRDefault="00563FF3">
      <w:pPr>
        <w:pStyle w:val="aa"/>
        <w:rPr>
          <w:sz w:val="22"/>
          <w:szCs w:val="22"/>
          <w:lang w:val="en-US"/>
        </w:rPr>
      </w:pPr>
      <w:r w:rsidRPr="00563FF3">
        <w:rPr>
          <w:rStyle w:val="ac"/>
          <w:sz w:val="22"/>
          <w:szCs w:val="22"/>
          <w:lang w:val="en-US"/>
        </w:rPr>
        <w:t>*)</w:t>
      </w:r>
      <w:r w:rsidRPr="00563FF3">
        <w:rPr>
          <w:sz w:val="22"/>
          <w:szCs w:val="22"/>
          <w:lang w:val="en-US"/>
        </w:rPr>
        <w:t xml:space="preserve">  </w:t>
      </w:r>
      <w:hyperlink r:id="rId1" w:history="1">
        <w:r w:rsidRPr="0034695A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DD6EB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7CD4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4695A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3FF3"/>
    <w:rsid w:val="00567C6F"/>
    <w:rsid w:val="00573BAD"/>
    <w:rsid w:val="0058676C"/>
    <w:rsid w:val="005F764D"/>
    <w:rsid w:val="00654A7B"/>
    <w:rsid w:val="006B5B24"/>
    <w:rsid w:val="00722085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C657D"/>
    <w:rsid w:val="00A27CD4"/>
    <w:rsid w:val="00A91A31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DD6EB9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3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91A31"/>
    <w:rPr>
      <w:color w:val="0000FF"/>
      <w:u w:val="single"/>
    </w:rPr>
  </w:style>
  <w:style w:type="character" w:customStyle="1" w:styleId="Zv-Organization0">
    <w:name w:val="Zv-Organization Знак"/>
    <w:basedOn w:val="a0"/>
    <w:link w:val="Zv-Organization"/>
    <w:locked/>
    <w:rsid w:val="00A91A31"/>
    <w:rPr>
      <w:i/>
      <w:sz w:val="24"/>
    </w:rPr>
  </w:style>
  <w:style w:type="paragraph" w:styleId="a8">
    <w:name w:val="Balloon Text"/>
    <w:basedOn w:val="a"/>
    <w:link w:val="a9"/>
    <w:rsid w:val="00A91A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91A3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563FF3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63FF3"/>
  </w:style>
  <w:style w:type="character" w:styleId="ac">
    <w:name w:val="footnote reference"/>
    <w:basedOn w:val="a0"/>
    <w:rsid w:val="00563F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agalya@yandex.ru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xdb.lbl.go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ru/EC-Shpatakovskay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9AAAE-12E2-4CA6-82EF-1EDFB0E7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3</TotalTime>
  <Pages>1</Pages>
  <Words>210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ATOMIC NUMBER SIMILARITY LAW IN INNER ELECTRON SHELLS OF ATOMS</dc:title>
  <dc:creator>sato</dc:creator>
  <cp:lastModifiedBy>Сатунин</cp:lastModifiedBy>
  <cp:revision>3</cp:revision>
  <cp:lastPrinted>1601-01-01T00:00:00Z</cp:lastPrinted>
  <dcterms:created xsi:type="dcterms:W3CDTF">2020-02-19T20:59:00Z</dcterms:created>
  <dcterms:modified xsi:type="dcterms:W3CDTF">2020-04-23T14:46:00Z</dcterms:modified>
</cp:coreProperties>
</file>