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22" w:rsidRPr="009E44C1" w:rsidRDefault="005D1222" w:rsidP="005D1222">
      <w:pPr>
        <w:pStyle w:val="Zv-Titlereport"/>
      </w:pPr>
      <w:r w:rsidRPr="00A617B4">
        <w:t>Динамика токовой оболочки самосжимающегося плазменного разряда при внешней инжекции газовых струй</w:t>
      </w:r>
      <w:r w:rsidR="009E44C1" w:rsidRPr="009E44C1">
        <w:t xml:space="preserve"> </w:t>
      </w:r>
      <w:r w:rsidR="009E44C1">
        <w:rPr>
          <w:rStyle w:val="a9"/>
        </w:rPr>
        <w:footnoteReference w:customMarkFollows="1" w:id="1"/>
        <w:t>*)</w:t>
      </w:r>
    </w:p>
    <w:p w:rsidR="005D1222" w:rsidRPr="009E44C1" w:rsidRDefault="005D1222" w:rsidP="005D1222">
      <w:pPr>
        <w:pStyle w:val="Zv-Author"/>
        <w:rPr>
          <w:bCs w:val="0"/>
          <w:iCs w:val="0"/>
          <w:szCs w:val="24"/>
          <w:lang w:val="en-US"/>
        </w:rPr>
      </w:pPr>
      <w:r w:rsidRPr="009E44C1">
        <w:rPr>
          <w:bCs w:val="0"/>
          <w:iCs w:val="0"/>
          <w:szCs w:val="24"/>
          <w:vertAlign w:val="superscript"/>
          <w:lang w:val="en-US"/>
        </w:rPr>
        <w:t>1,2</w:t>
      </w:r>
      <w:r w:rsidRPr="0096680B">
        <w:rPr>
          <w:bCs w:val="0"/>
          <w:iCs w:val="0"/>
          <w:szCs w:val="24"/>
          <w:u w:val="single"/>
        </w:rPr>
        <w:t>Лотоцкий</w:t>
      </w:r>
      <w:r w:rsidRPr="009E44C1">
        <w:rPr>
          <w:bCs w:val="0"/>
          <w:iCs w:val="0"/>
          <w:szCs w:val="24"/>
          <w:u w:val="single"/>
          <w:lang w:val="en-US"/>
        </w:rPr>
        <w:t xml:space="preserve"> </w:t>
      </w:r>
      <w:r w:rsidRPr="0096680B">
        <w:rPr>
          <w:bCs w:val="0"/>
          <w:iCs w:val="0"/>
          <w:szCs w:val="24"/>
          <w:u w:val="single"/>
        </w:rPr>
        <w:t>А</w:t>
      </w:r>
      <w:r w:rsidRPr="009E44C1">
        <w:rPr>
          <w:bCs w:val="0"/>
          <w:iCs w:val="0"/>
          <w:szCs w:val="24"/>
          <w:u w:val="single"/>
          <w:lang w:val="en-US"/>
        </w:rPr>
        <w:t>.</w:t>
      </w:r>
      <w:r w:rsidRPr="0096680B">
        <w:rPr>
          <w:bCs w:val="0"/>
          <w:iCs w:val="0"/>
          <w:szCs w:val="24"/>
          <w:u w:val="single"/>
        </w:rPr>
        <w:t>П</w:t>
      </w:r>
      <w:r w:rsidRPr="009E44C1">
        <w:rPr>
          <w:bCs w:val="0"/>
          <w:iCs w:val="0"/>
          <w:szCs w:val="24"/>
          <w:u w:val="single"/>
          <w:lang w:val="en-US"/>
        </w:rPr>
        <w:t>.</w:t>
      </w:r>
      <w:r w:rsidRPr="009E44C1">
        <w:rPr>
          <w:bCs w:val="0"/>
          <w:iCs w:val="0"/>
          <w:szCs w:val="24"/>
          <w:lang w:val="en-US"/>
        </w:rPr>
        <w:t xml:space="preserve">, </w:t>
      </w:r>
      <w:r w:rsidRPr="009E44C1">
        <w:rPr>
          <w:bCs w:val="0"/>
          <w:iCs w:val="0"/>
          <w:szCs w:val="24"/>
          <w:vertAlign w:val="superscript"/>
          <w:lang w:val="en-US"/>
        </w:rPr>
        <w:t>1</w:t>
      </w:r>
      <w:r w:rsidRPr="0096680B">
        <w:rPr>
          <w:bCs w:val="0"/>
          <w:iCs w:val="0"/>
          <w:szCs w:val="24"/>
        </w:rPr>
        <w:t>Грабовский</w:t>
      </w:r>
      <w:r w:rsidRPr="009E44C1">
        <w:rPr>
          <w:bCs w:val="0"/>
          <w:iCs w:val="0"/>
          <w:szCs w:val="24"/>
          <w:lang w:val="en-US"/>
        </w:rPr>
        <w:t xml:space="preserve"> </w:t>
      </w:r>
      <w:r w:rsidRPr="0096680B">
        <w:rPr>
          <w:bCs w:val="0"/>
          <w:iCs w:val="0"/>
          <w:szCs w:val="24"/>
        </w:rPr>
        <w:t>Е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В</w:t>
      </w:r>
      <w:r w:rsidRPr="009E44C1">
        <w:rPr>
          <w:bCs w:val="0"/>
          <w:iCs w:val="0"/>
          <w:szCs w:val="24"/>
          <w:lang w:val="en-US"/>
        </w:rPr>
        <w:t xml:space="preserve">., </w:t>
      </w:r>
      <w:r w:rsidRPr="009E44C1">
        <w:rPr>
          <w:bCs w:val="0"/>
          <w:iCs w:val="0"/>
          <w:szCs w:val="24"/>
          <w:vertAlign w:val="superscript"/>
          <w:lang w:val="en-US"/>
        </w:rPr>
        <w:t>1</w:t>
      </w:r>
      <w:r w:rsidRPr="0096680B">
        <w:rPr>
          <w:bCs w:val="0"/>
          <w:iCs w:val="0"/>
          <w:szCs w:val="24"/>
        </w:rPr>
        <w:t>Крылов</w:t>
      </w:r>
      <w:r w:rsidRPr="009E44C1">
        <w:rPr>
          <w:bCs w:val="0"/>
          <w:iCs w:val="0"/>
          <w:szCs w:val="24"/>
          <w:lang w:val="en-US"/>
        </w:rPr>
        <w:t xml:space="preserve"> </w:t>
      </w:r>
      <w:r w:rsidRPr="0096680B">
        <w:rPr>
          <w:bCs w:val="0"/>
          <w:iCs w:val="0"/>
          <w:szCs w:val="24"/>
        </w:rPr>
        <w:t>М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К</w:t>
      </w:r>
      <w:r w:rsidRPr="009E44C1">
        <w:rPr>
          <w:bCs w:val="0"/>
          <w:iCs w:val="0"/>
          <w:szCs w:val="24"/>
          <w:lang w:val="en-US"/>
        </w:rPr>
        <w:t xml:space="preserve">., </w:t>
      </w:r>
      <w:r w:rsidRPr="009E44C1">
        <w:rPr>
          <w:bCs w:val="0"/>
          <w:iCs w:val="0"/>
          <w:szCs w:val="24"/>
          <w:vertAlign w:val="superscript"/>
          <w:lang w:val="en-US"/>
        </w:rPr>
        <w:t>1</w:t>
      </w:r>
      <w:r w:rsidRPr="0096680B">
        <w:rPr>
          <w:bCs w:val="0"/>
          <w:iCs w:val="0"/>
          <w:szCs w:val="24"/>
        </w:rPr>
        <w:t>Ефремов</w:t>
      </w:r>
      <w:r w:rsidRPr="009E44C1">
        <w:rPr>
          <w:bCs w:val="0"/>
          <w:iCs w:val="0"/>
          <w:szCs w:val="24"/>
          <w:lang w:val="en-US"/>
        </w:rPr>
        <w:t xml:space="preserve"> </w:t>
      </w:r>
      <w:r w:rsidRPr="0096680B">
        <w:rPr>
          <w:bCs w:val="0"/>
          <w:iCs w:val="0"/>
          <w:szCs w:val="24"/>
        </w:rPr>
        <w:t>Н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М</w:t>
      </w:r>
      <w:r w:rsidRPr="009E44C1">
        <w:rPr>
          <w:bCs w:val="0"/>
          <w:iCs w:val="0"/>
          <w:szCs w:val="24"/>
          <w:lang w:val="en-US"/>
        </w:rPr>
        <w:t xml:space="preserve">., </w:t>
      </w:r>
      <w:r w:rsidRPr="009E44C1">
        <w:rPr>
          <w:bCs w:val="0"/>
          <w:iCs w:val="0"/>
          <w:szCs w:val="24"/>
          <w:vertAlign w:val="superscript"/>
          <w:lang w:val="en-US"/>
        </w:rPr>
        <w:t>1</w:t>
      </w:r>
      <w:r w:rsidRPr="0096680B">
        <w:rPr>
          <w:bCs w:val="0"/>
          <w:iCs w:val="0"/>
          <w:szCs w:val="24"/>
        </w:rPr>
        <w:t>Сулимин</w:t>
      </w:r>
      <w:r w:rsidRPr="009E44C1">
        <w:rPr>
          <w:bCs w:val="0"/>
          <w:iCs w:val="0"/>
          <w:szCs w:val="24"/>
          <w:lang w:val="en-US"/>
        </w:rPr>
        <w:t xml:space="preserve"> </w:t>
      </w:r>
      <w:r w:rsidRPr="0096680B">
        <w:rPr>
          <w:bCs w:val="0"/>
          <w:iCs w:val="0"/>
          <w:szCs w:val="24"/>
        </w:rPr>
        <w:t>Ю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Н</w:t>
      </w:r>
      <w:r w:rsidRPr="009E44C1">
        <w:rPr>
          <w:bCs w:val="0"/>
          <w:iCs w:val="0"/>
          <w:szCs w:val="24"/>
          <w:lang w:val="en-US"/>
        </w:rPr>
        <w:t xml:space="preserve">., </w:t>
      </w:r>
      <w:r w:rsidRPr="009E44C1">
        <w:rPr>
          <w:bCs w:val="0"/>
          <w:iCs w:val="0"/>
          <w:szCs w:val="24"/>
          <w:vertAlign w:val="superscript"/>
          <w:lang w:val="en-US"/>
        </w:rPr>
        <w:t>1</w:t>
      </w:r>
      <w:r w:rsidRPr="0096680B">
        <w:rPr>
          <w:bCs w:val="0"/>
          <w:iCs w:val="0"/>
          <w:szCs w:val="24"/>
        </w:rPr>
        <w:t>Шишлов</w:t>
      </w:r>
      <w:r w:rsidRPr="009E44C1">
        <w:rPr>
          <w:bCs w:val="0"/>
          <w:iCs w:val="0"/>
          <w:szCs w:val="24"/>
          <w:lang w:val="en-US"/>
        </w:rPr>
        <w:t xml:space="preserve"> </w:t>
      </w:r>
      <w:r w:rsidRPr="0096680B">
        <w:rPr>
          <w:bCs w:val="0"/>
          <w:iCs w:val="0"/>
          <w:szCs w:val="24"/>
        </w:rPr>
        <w:t>А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О</w:t>
      </w:r>
      <w:r w:rsidRPr="009E44C1">
        <w:rPr>
          <w:bCs w:val="0"/>
          <w:iCs w:val="0"/>
          <w:szCs w:val="24"/>
          <w:lang w:val="en-US"/>
        </w:rPr>
        <w:t xml:space="preserve">., </w:t>
      </w:r>
      <w:r w:rsidRPr="009E44C1">
        <w:rPr>
          <w:bCs w:val="0"/>
          <w:iCs w:val="0"/>
          <w:szCs w:val="24"/>
          <w:vertAlign w:val="superscript"/>
          <w:lang w:val="en-US"/>
        </w:rPr>
        <w:t>1</w:t>
      </w:r>
      <w:r>
        <w:rPr>
          <w:bCs w:val="0"/>
          <w:iCs w:val="0"/>
          <w:szCs w:val="24"/>
        </w:rPr>
        <w:t>Предкова</w:t>
      </w:r>
      <w:r w:rsidRPr="009E44C1">
        <w:rPr>
          <w:bCs w:val="0"/>
          <w:iCs w:val="0"/>
          <w:szCs w:val="24"/>
          <w:lang w:val="en-US"/>
        </w:rPr>
        <w:t xml:space="preserve"> </w:t>
      </w:r>
      <w:r>
        <w:rPr>
          <w:bCs w:val="0"/>
          <w:iCs w:val="0"/>
          <w:szCs w:val="24"/>
        </w:rPr>
        <w:t>Е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И</w:t>
      </w:r>
      <w:r w:rsidRPr="009E44C1">
        <w:rPr>
          <w:bCs w:val="0"/>
          <w:iCs w:val="0"/>
          <w:szCs w:val="24"/>
          <w:lang w:val="en-US"/>
        </w:rPr>
        <w:t xml:space="preserve">., </w:t>
      </w:r>
      <w:r w:rsidRPr="009E44C1">
        <w:rPr>
          <w:bCs w:val="0"/>
          <w:iCs w:val="0"/>
          <w:szCs w:val="24"/>
          <w:vertAlign w:val="superscript"/>
          <w:lang w:val="en-US"/>
        </w:rPr>
        <w:t>2</w:t>
      </w:r>
      <w:r>
        <w:rPr>
          <w:bCs w:val="0"/>
          <w:iCs w:val="0"/>
          <w:szCs w:val="24"/>
        </w:rPr>
        <w:t>Додулад</w:t>
      </w:r>
      <w:r w:rsidRPr="009E44C1">
        <w:rPr>
          <w:bCs w:val="0"/>
          <w:iCs w:val="0"/>
          <w:szCs w:val="24"/>
          <w:lang w:val="en-US"/>
        </w:rPr>
        <w:t xml:space="preserve"> </w:t>
      </w:r>
      <w:r>
        <w:rPr>
          <w:bCs w:val="0"/>
          <w:iCs w:val="0"/>
          <w:szCs w:val="24"/>
        </w:rPr>
        <w:t>Э</w:t>
      </w:r>
      <w:r w:rsidRPr="009E44C1">
        <w:rPr>
          <w:bCs w:val="0"/>
          <w:iCs w:val="0"/>
          <w:szCs w:val="24"/>
          <w:lang w:val="en-US"/>
        </w:rPr>
        <w:t>.</w:t>
      </w:r>
      <w:r>
        <w:rPr>
          <w:bCs w:val="0"/>
          <w:iCs w:val="0"/>
          <w:szCs w:val="24"/>
        </w:rPr>
        <w:t>И</w:t>
      </w:r>
      <w:r w:rsidRPr="009E44C1">
        <w:rPr>
          <w:bCs w:val="0"/>
          <w:iCs w:val="0"/>
          <w:szCs w:val="24"/>
          <w:lang w:val="en-US"/>
        </w:rPr>
        <w:t xml:space="preserve">., </w:t>
      </w:r>
      <w:r w:rsidRPr="009E44C1">
        <w:rPr>
          <w:bCs w:val="0"/>
          <w:iCs w:val="0"/>
          <w:szCs w:val="24"/>
          <w:vertAlign w:val="superscript"/>
          <w:lang w:val="en-US"/>
        </w:rPr>
        <w:t>3</w:t>
      </w:r>
      <w:r w:rsidRPr="0096680B">
        <w:rPr>
          <w:bCs w:val="0"/>
          <w:iCs w:val="0"/>
          <w:szCs w:val="24"/>
        </w:rPr>
        <w:t>Фролов</w:t>
      </w:r>
      <w:r w:rsidRPr="009E44C1">
        <w:rPr>
          <w:bCs w:val="0"/>
          <w:iCs w:val="0"/>
          <w:szCs w:val="24"/>
          <w:lang w:val="en-US"/>
        </w:rPr>
        <w:t xml:space="preserve"> </w:t>
      </w:r>
      <w:r w:rsidRPr="0096680B">
        <w:rPr>
          <w:bCs w:val="0"/>
          <w:iCs w:val="0"/>
          <w:szCs w:val="24"/>
        </w:rPr>
        <w:t>А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Ю</w:t>
      </w:r>
      <w:r w:rsidRPr="009E44C1">
        <w:rPr>
          <w:bCs w:val="0"/>
          <w:iCs w:val="0"/>
          <w:szCs w:val="24"/>
          <w:lang w:val="en-US"/>
        </w:rPr>
        <w:t xml:space="preserve">., </w:t>
      </w:r>
      <w:r w:rsidRPr="009E44C1">
        <w:rPr>
          <w:bCs w:val="0"/>
          <w:iCs w:val="0"/>
          <w:szCs w:val="24"/>
          <w:vertAlign w:val="superscript"/>
          <w:lang w:val="en-US"/>
        </w:rPr>
        <w:t>4</w:t>
      </w:r>
      <w:r w:rsidRPr="0096680B">
        <w:rPr>
          <w:bCs w:val="0"/>
          <w:iCs w:val="0"/>
          <w:szCs w:val="24"/>
        </w:rPr>
        <w:t>Вихрев</w:t>
      </w:r>
      <w:r w:rsidRPr="009E44C1">
        <w:rPr>
          <w:bCs w:val="0"/>
          <w:iCs w:val="0"/>
          <w:szCs w:val="24"/>
          <w:lang w:val="en-US"/>
        </w:rPr>
        <w:t xml:space="preserve"> </w:t>
      </w:r>
      <w:r w:rsidRPr="0096680B">
        <w:rPr>
          <w:bCs w:val="0"/>
          <w:iCs w:val="0"/>
          <w:szCs w:val="24"/>
        </w:rPr>
        <w:t>В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В</w:t>
      </w:r>
      <w:r w:rsidRPr="009E44C1">
        <w:rPr>
          <w:bCs w:val="0"/>
          <w:iCs w:val="0"/>
          <w:szCs w:val="24"/>
          <w:lang w:val="en-US"/>
        </w:rPr>
        <w:t>.,</w:t>
      </w:r>
      <w:r w:rsidRPr="009E44C1">
        <w:rPr>
          <w:bCs w:val="0"/>
          <w:iCs w:val="0"/>
          <w:szCs w:val="24"/>
          <w:vertAlign w:val="superscript"/>
          <w:lang w:val="en-US"/>
        </w:rPr>
        <w:t xml:space="preserve"> 5</w:t>
      </w:r>
      <w:r w:rsidRPr="0096680B">
        <w:rPr>
          <w:bCs w:val="0"/>
          <w:iCs w:val="0"/>
          <w:szCs w:val="24"/>
        </w:rPr>
        <w:t>Лукин</w:t>
      </w:r>
      <w:r>
        <w:rPr>
          <w:bCs w:val="0"/>
          <w:iCs w:val="0"/>
          <w:szCs w:val="24"/>
          <w:lang w:val="en-US"/>
        </w:rPr>
        <w:t> </w:t>
      </w:r>
      <w:r w:rsidRPr="0096680B">
        <w:rPr>
          <w:bCs w:val="0"/>
          <w:iCs w:val="0"/>
          <w:szCs w:val="24"/>
        </w:rPr>
        <w:t>В</w:t>
      </w:r>
      <w:r w:rsidRPr="009E44C1">
        <w:rPr>
          <w:bCs w:val="0"/>
          <w:iCs w:val="0"/>
          <w:szCs w:val="24"/>
          <w:lang w:val="en-US"/>
        </w:rPr>
        <w:t>.</w:t>
      </w:r>
      <w:r w:rsidRPr="0096680B">
        <w:rPr>
          <w:bCs w:val="0"/>
          <w:iCs w:val="0"/>
          <w:szCs w:val="24"/>
        </w:rPr>
        <w:t>В</w:t>
      </w:r>
      <w:r w:rsidRPr="009E44C1">
        <w:rPr>
          <w:bCs w:val="0"/>
          <w:iCs w:val="0"/>
          <w:szCs w:val="24"/>
          <w:lang w:val="en-US"/>
        </w:rPr>
        <w:t>.</w:t>
      </w:r>
    </w:p>
    <w:p w:rsidR="005D1222" w:rsidRPr="0096680B" w:rsidRDefault="005D1222" w:rsidP="00906711">
      <w:pPr>
        <w:pStyle w:val="Zv-Organization"/>
        <w:spacing w:after="180"/>
        <w:rPr>
          <w:szCs w:val="24"/>
        </w:rPr>
      </w:pPr>
      <w:r w:rsidRPr="0096680B">
        <w:rPr>
          <w:szCs w:val="24"/>
          <w:vertAlign w:val="superscript"/>
        </w:rPr>
        <w:t>1</w:t>
      </w:r>
      <w:r w:rsidRPr="0096680B">
        <w:rPr>
          <w:szCs w:val="24"/>
        </w:rPr>
        <w:t>АО ГНЦ РФ ТРИНИТИ</w:t>
      </w:r>
      <w:r w:rsidRPr="009C20AE">
        <w:t>, Москва</w:t>
      </w:r>
      <w:r w:rsidRPr="0096680B">
        <w:rPr>
          <w:szCs w:val="24"/>
        </w:rPr>
        <w:br/>
      </w:r>
      <w:r w:rsidRPr="0096680B">
        <w:rPr>
          <w:szCs w:val="24"/>
          <w:vertAlign w:val="superscript"/>
        </w:rPr>
        <w:t>2</w:t>
      </w:r>
      <w:r w:rsidRPr="0096680B">
        <w:rPr>
          <w:szCs w:val="24"/>
        </w:rPr>
        <w:t>НИЯУ МИФИ</w:t>
      </w:r>
      <w:r w:rsidRPr="009C20AE">
        <w:t>, Москва</w:t>
      </w:r>
      <w:r w:rsidRPr="0096680B">
        <w:rPr>
          <w:szCs w:val="24"/>
        </w:rPr>
        <w:br/>
      </w:r>
      <w:r w:rsidRPr="0096680B">
        <w:rPr>
          <w:szCs w:val="24"/>
          <w:vertAlign w:val="superscript"/>
        </w:rPr>
        <w:t>3</w:t>
      </w:r>
      <w:r w:rsidRPr="0096680B">
        <w:rPr>
          <w:szCs w:val="24"/>
        </w:rPr>
        <w:t>МВТУ им. Баумана</w:t>
      </w:r>
      <w:r w:rsidRPr="009C20AE">
        <w:t>, Москва</w:t>
      </w:r>
      <w:r w:rsidRPr="0096680B">
        <w:rPr>
          <w:szCs w:val="24"/>
        </w:rPr>
        <w:br/>
      </w:r>
      <w:r w:rsidRPr="005D1222">
        <w:t>4ИАЭ им. Курчатова</w:t>
      </w:r>
      <w:r w:rsidRPr="009C20AE">
        <w:t>, Москва</w:t>
      </w:r>
      <w:r w:rsidRPr="0096680B">
        <w:rPr>
          <w:szCs w:val="24"/>
        </w:rPr>
        <w:br/>
      </w:r>
      <w:r w:rsidRPr="0096680B">
        <w:rPr>
          <w:szCs w:val="24"/>
          <w:vertAlign w:val="superscript"/>
        </w:rPr>
        <w:t>5</w:t>
      </w:r>
      <w:r w:rsidRPr="0096680B">
        <w:rPr>
          <w:szCs w:val="24"/>
        </w:rPr>
        <w:t>ИПМ им. Келдыша</w:t>
      </w:r>
      <w:r w:rsidRPr="009C20AE">
        <w:t>, Москва</w:t>
      </w:r>
    </w:p>
    <w:p w:rsidR="005D1222" w:rsidRDefault="005D1222" w:rsidP="00906711">
      <w:pPr>
        <w:pStyle w:val="Zv-bodyreport"/>
        <w:spacing w:line="230" w:lineRule="auto"/>
      </w:pPr>
      <w:r w:rsidRPr="009372E1">
        <w:t>Движение токовой оболочки в плазменном фокусе сопровождается отрывом тока от изолятора,  накоплением магнитной энергии и сгребанием газа в межэлектродном зазоре с коллапсом токовой оболочки  на торце анода. В целом весь процесс оптимизируется для получения конечного результата – максимального выхода излучения. Это достигается выбором геометрии, начального давления газа и величины разрядного тока, обеспечивающего  пинчевание токовой оболочки за несколько мкс. Ранее предпринимались отдельные попытки впрыском газа варьировать профиль плотности начального газового распределения в камере, добав</w:t>
      </w:r>
      <w:r>
        <w:t xml:space="preserve">ив еще один параметр для </w:t>
      </w:r>
      <w:r w:rsidRPr="009372E1">
        <w:t>согласования разных этапов этого сложного процесса [1,2,3]. Однако систематических исследований в этом направлении ранее не проводилось. Для проведения экспериментов построена установка ПФ-МОЛ,  с электродами промежуточного типа между Мейзеровской и квази</w:t>
      </w:r>
      <w:r>
        <w:t>с</w:t>
      </w:r>
      <w:r w:rsidRPr="009372E1">
        <w:t>ферической. Источник энергии - конденсаторная батарея с запасом энергии ~ 100 кДж. В одном из  вариантов использован межэлектродный изолятор из капролона, в другом – из керамики.  Заполнение камеры рабочим газом производилось с помощью быстродействующего электродинамического клапана. Установка в первом варианте устойчиво работа</w:t>
      </w:r>
      <w:r>
        <w:t>ла  с выходом нейтронов до 10</w:t>
      </w:r>
      <w:r>
        <w:rPr>
          <w:bCs/>
          <w:iCs/>
          <w:sz w:val="22"/>
          <w:szCs w:val="22"/>
          <w:vertAlign w:val="superscript"/>
        </w:rPr>
        <w:t>9</w:t>
      </w:r>
      <w:r w:rsidRPr="009372E1">
        <w:t>/имп.  В этом  режиме инициирующий пробой не касался  капролонового изолятора. При увеличении подачи газа  пр</w:t>
      </w:r>
      <w:r>
        <w:t>оисходил пробой по поверхности изолятора</w:t>
      </w:r>
      <w:r w:rsidRPr="009372E1">
        <w:t>, и  разряд был без генерации нейтронов.</w:t>
      </w:r>
      <w:r>
        <w:t xml:space="preserve"> </w:t>
      </w:r>
      <w:r w:rsidRPr="009372E1">
        <w:t>Выполнена серия расчетов по импульсной инжекции рабочего газа. С учетом  результатов   нейтронный выход был увеличен в 2-3 раза. В варианте с керамическим изолятором работа велась как при предварительном заполнении камеры, так и при  импульсной инжекции рабочего газа. Соответственно была использована  и комбинация этих способов. Нейтронный выход пр</w:t>
      </w:r>
      <w:r>
        <w:t>и этом  увеличился  до 1,2*10</w:t>
      </w:r>
      <w:r>
        <w:rPr>
          <w:bCs/>
          <w:iCs/>
          <w:sz w:val="22"/>
          <w:szCs w:val="22"/>
          <w:vertAlign w:val="superscript"/>
        </w:rPr>
        <w:t>10</w:t>
      </w:r>
      <w:r w:rsidRPr="009372E1">
        <w:t>/имп. при токе 750 кА.</w:t>
      </w:r>
      <w:r>
        <w:t xml:space="preserve"> </w:t>
      </w:r>
      <w:r w:rsidRPr="009372E1">
        <w:t xml:space="preserve">Проведены  магнитозондовые измерения. Восстановлен ход развития токовой оболочки и динамика ее движения по  электродам.  Получен значительный объем  информации, включая определение  концентрации разрядного тока в области коллапса пинча. Получены  снимки зоны фокуса и плазменной  оболочки с микросекундной экспозицией. Обсуждается влияние инжектированного  газа на генерацию излучения. Повышение разрядного тока свыше 1,5-2,0 МА требует  использования   плазменной оболочки с большой массой. Поэтому можно рассматривать вопрос о формировании оболочки из тяжелых газов, обжимающую инжектированную дейтериевую струю. При малых токах в рабочем </w:t>
      </w:r>
      <w:r>
        <w:t xml:space="preserve">диапазоне данной установки (600 </w:t>
      </w:r>
      <w:r w:rsidRPr="009372E1">
        <w:t>кА) проведен пробный эксперимент с обжатием гелиевой оболочкой впрыснутого по оси дейтерия. Получена  генера</w:t>
      </w:r>
      <w:r>
        <w:t>ция нейтронов с выходом 1,5*10</w:t>
      </w:r>
      <w:r>
        <w:rPr>
          <w:bCs/>
          <w:iCs/>
          <w:sz w:val="22"/>
          <w:szCs w:val="22"/>
          <w:vertAlign w:val="superscript"/>
        </w:rPr>
        <w:t xml:space="preserve">9 </w:t>
      </w:r>
      <w:r w:rsidRPr="009372E1">
        <w:t>/имп.</w:t>
      </w:r>
    </w:p>
    <w:p w:rsidR="005D1222" w:rsidRPr="00D62F05" w:rsidRDefault="005D1222" w:rsidP="00906711">
      <w:pPr>
        <w:pStyle w:val="Zv-TitleReferences-ru"/>
        <w:spacing w:line="230" w:lineRule="auto"/>
      </w:pPr>
      <w:r>
        <w:t>Литература</w:t>
      </w:r>
      <w:r w:rsidRPr="00D62F05">
        <w:t xml:space="preserve"> </w:t>
      </w:r>
    </w:p>
    <w:p w:rsidR="005D1222" w:rsidRPr="00A37353" w:rsidRDefault="005D1222" w:rsidP="00906711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D01BD1">
        <w:rPr>
          <w:bCs/>
          <w:lang w:val="en-US"/>
        </w:rPr>
        <w:t>J</w:t>
      </w:r>
      <w:r w:rsidRPr="00D62F05">
        <w:rPr>
          <w:bCs/>
          <w:lang w:val="en-US"/>
        </w:rPr>
        <w:t xml:space="preserve">. </w:t>
      </w:r>
      <w:r w:rsidRPr="00D01BD1">
        <w:rPr>
          <w:bCs/>
          <w:lang w:val="en-US"/>
        </w:rPr>
        <w:t>Stanislawski</w:t>
      </w:r>
      <w:r w:rsidRPr="00D62F05">
        <w:rPr>
          <w:bCs/>
          <w:lang w:val="en-US"/>
        </w:rPr>
        <w:t xml:space="preserve">, </w:t>
      </w:r>
      <w:r w:rsidRPr="00D01BD1">
        <w:rPr>
          <w:bCs/>
          <w:lang w:val="en-US"/>
        </w:rPr>
        <w:t>J</w:t>
      </w:r>
      <w:r w:rsidRPr="00D62F05">
        <w:rPr>
          <w:bCs/>
          <w:lang w:val="en-US"/>
        </w:rPr>
        <w:t xml:space="preserve">. </w:t>
      </w:r>
      <w:r w:rsidRPr="00D01BD1">
        <w:rPr>
          <w:bCs/>
          <w:lang w:val="en-US"/>
        </w:rPr>
        <w:t>Baranowski</w:t>
      </w:r>
      <w:r w:rsidRPr="00D62F05">
        <w:rPr>
          <w:bCs/>
          <w:lang w:val="en-US"/>
        </w:rPr>
        <w:t xml:space="preserve">, </w:t>
      </w:r>
      <w:r w:rsidRPr="00D01BD1">
        <w:rPr>
          <w:bCs/>
          <w:lang w:val="en-US"/>
        </w:rPr>
        <w:t>M</w:t>
      </w:r>
      <w:r w:rsidRPr="00D62F05">
        <w:rPr>
          <w:bCs/>
          <w:lang w:val="en-US"/>
        </w:rPr>
        <w:t xml:space="preserve">. </w:t>
      </w:r>
      <w:r w:rsidRPr="00D01BD1">
        <w:rPr>
          <w:bCs/>
          <w:lang w:val="en-US"/>
        </w:rPr>
        <w:t>Sadowski</w:t>
      </w:r>
      <w:r w:rsidRPr="00D62F05">
        <w:rPr>
          <w:bCs/>
          <w:lang w:val="en-US"/>
        </w:rPr>
        <w:t xml:space="preserve">, </w:t>
      </w:r>
      <w:r w:rsidRPr="00D01BD1">
        <w:rPr>
          <w:bCs/>
          <w:lang w:val="en-US"/>
        </w:rPr>
        <w:t>J</w:t>
      </w:r>
      <w:r w:rsidRPr="00D62F05">
        <w:rPr>
          <w:bCs/>
          <w:lang w:val="en-US"/>
        </w:rPr>
        <w:t xml:space="preserve">. </w:t>
      </w:r>
      <w:r w:rsidRPr="00D01BD1">
        <w:rPr>
          <w:bCs/>
          <w:lang w:val="en-US"/>
        </w:rPr>
        <w:t>Zebrowski</w:t>
      </w:r>
      <w:r w:rsidRPr="00D62F05">
        <w:rPr>
          <w:bCs/>
          <w:lang w:val="en-US"/>
        </w:rPr>
        <w:t xml:space="preserve">. </w:t>
      </w:r>
      <w:r w:rsidRPr="00D01BD1">
        <w:rPr>
          <w:lang w:val="en-US"/>
        </w:rPr>
        <w:t xml:space="preserve">Nucleonika 2001, 46, </w:t>
      </w:r>
      <w:r w:rsidRPr="00D01BD1">
        <w:t>С</w:t>
      </w:r>
      <w:r w:rsidRPr="00B42531">
        <w:rPr>
          <w:lang w:val="en-US"/>
        </w:rPr>
        <w:t xml:space="preserve">. </w:t>
      </w:r>
      <w:r w:rsidRPr="00D01BD1">
        <w:rPr>
          <w:lang w:val="en-US"/>
        </w:rPr>
        <w:t>73-75</w:t>
      </w:r>
      <w:r w:rsidRPr="00B42531">
        <w:rPr>
          <w:lang w:val="en-US"/>
        </w:rPr>
        <w:t>.</w:t>
      </w:r>
    </w:p>
    <w:p w:rsidR="005D1222" w:rsidRPr="006A2693" w:rsidRDefault="005D1222" w:rsidP="00906711">
      <w:pPr>
        <w:pStyle w:val="Zv-References-ru"/>
        <w:spacing w:line="230" w:lineRule="auto"/>
        <w:rPr>
          <w:lang w:val="en-US"/>
        </w:rPr>
      </w:pPr>
      <w:r w:rsidRPr="005D1222">
        <w:rPr>
          <w:lang w:val="en-US"/>
        </w:rPr>
        <w:t xml:space="preserve">Marek Sholtz. </w:t>
      </w:r>
      <w:smartTag w:uri="urn:schemas-microsoft-com:office:smarttags" w:element="place">
        <w:smartTag w:uri="urn:schemas-microsoft-com:office:smarttags" w:element="PlaceType">
          <w:r w:rsidRPr="00D01BD1">
            <w:rPr>
              <w:rFonts w:eastAsia="MinionPro-Regular"/>
              <w:lang w:val="en-US"/>
            </w:rPr>
            <w:t>Institute</w:t>
          </w:r>
        </w:smartTag>
        <w:r w:rsidRPr="00D01BD1">
          <w:rPr>
            <w:rFonts w:eastAsia="MinionPro-Regular"/>
            <w:lang w:val="en-US"/>
          </w:rPr>
          <w:t xml:space="preserve"> of </w:t>
        </w:r>
        <w:smartTag w:uri="urn:schemas-microsoft-com:office:smarttags" w:element="PlaceName">
          <w:r w:rsidRPr="00D01BD1">
            <w:rPr>
              <w:rFonts w:eastAsia="MinionPro-Regular"/>
              <w:lang w:val="en-US"/>
            </w:rPr>
            <w:t>Nuclear Physics</w:t>
          </w:r>
        </w:smartTag>
      </w:smartTag>
      <w:r w:rsidRPr="00D01BD1">
        <w:rPr>
          <w:rFonts w:eastAsia="MinionPro-Regular"/>
          <w:lang w:val="en-US"/>
        </w:rPr>
        <w:t>., Krakow 2014</w:t>
      </w:r>
      <w:r w:rsidRPr="006A2693">
        <w:rPr>
          <w:rFonts w:eastAsia="MinionPro-Regular"/>
          <w:lang w:val="en-US"/>
        </w:rPr>
        <w:t xml:space="preserve">.  </w:t>
      </w:r>
      <w:r w:rsidRPr="00D01BD1">
        <w:rPr>
          <w:rFonts w:eastAsia="MinionPro-Regular"/>
          <w:lang w:val="en-US"/>
        </w:rPr>
        <w:t xml:space="preserve">ISBN 978-83-63542-56-6. </w:t>
      </w:r>
    </w:p>
    <w:p w:rsidR="005D1222" w:rsidRPr="001B0A33" w:rsidRDefault="005D1222" w:rsidP="00906711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 xml:space="preserve">V.P. Bakhtin, Yu.V.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Sk</w:t>
          </w:r>
          <w:r w:rsidRPr="00D01BD1">
            <w:rPr>
              <w:lang w:val="en-US"/>
            </w:rPr>
            <w:t>vortsov</w:t>
          </w:r>
        </w:smartTag>
        <w:r w:rsidRPr="00D01BD1">
          <w:rPr>
            <w:lang w:val="en-US"/>
          </w:rPr>
          <w:t xml:space="preserve">, </w:t>
        </w:r>
        <w:smartTag w:uri="urn:schemas-microsoft-com:office:smarttags" w:element="State">
          <w:r w:rsidRPr="00D01BD1">
            <w:rPr>
              <w:lang w:val="en-US"/>
            </w:rPr>
            <w:t>N.M.</w:t>
          </w:r>
        </w:smartTag>
      </w:smartTag>
      <w:r w:rsidRPr="00D01BD1">
        <w:rPr>
          <w:lang w:val="en-US"/>
        </w:rPr>
        <w:t xml:space="preserve"> Umrikhin. Plasms Devices and Operations. 1992, Vol.2, P.141-153.</w:t>
      </w:r>
    </w:p>
    <w:sectPr w:rsidR="005D1222" w:rsidRPr="001B0A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C0" w:rsidRDefault="00F977C0">
      <w:r>
        <w:separator/>
      </w:r>
    </w:p>
  </w:endnote>
  <w:endnote w:type="continuationSeparator" w:id="0">
    <w:p w:rsidR="00F977C0" w:rsidRDefault="00F9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57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57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71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C0" w:rsidRDefault="00F977C0">
      <w:r>
        <w:separator/>
      </w:r>
    </w:p>
  </w:footnote>
  <w:footnote w:type="continuationSeparator" w:id="0">
    <w:p w:rsidR="00F977C0" w:rsidRDefault="00F977C0">
      <w:r>
        <w:continuationSeparator/>
      </w:r>
    </w:p>
  </w:footnote>
  <w:footnote w:id="1">
    <w:p w:rsidR="009E44C1" w:rsidRPr="009E44C1" w:rsidRDefault="009E44C1">
      <w:pPr>
        <w:pStyle w:val="a7"/>
        <w:rPr>
          <w:sz w:val="22"/>
          <w:szCs w:val="22"/>
          <w:lang w:val="en-US"/>
        </w:rPr>
      </w:pPr>
      <w:r w:rsidRPr="009E44C1">
        <w:rPr>
          <w:rStyle w:val="a9"/>
          <w:sz w:val="22"/>
          <w:szCs w:val="22"/>
        </w:rPr>
        <w:t>*)</w:t>
      </w:r>
      <w:r w:rsidRPr="009E44C1">
        <w:rPr>
          <w:sz w:val="22"/>
          <w:szCs w:val="22"/>
        </w:rPr>
        <w:t xml:space="preserve">  </w:t>
      </w:r>
      <w:hyperlink r:id="rId1" w:history="1">
        <w:r w:rsidRPr="009E44C1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D757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77C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6EBA"/>
    <w:rsid w:val="00447ABC"/>
    <w:rsid w:val="004A77D1"/>
    <w:rsid w:val="004B72AA"/>
    <w:rsid w:val="004F4E29"/>
    <w:rsid w:val="00567C6F"/>
    <w:rsid w:val="00572013"/>
    <w:rsid w:val="0058676C"/>
    <w:rsid w:val="005D1222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06711"/>
    <w:rsid w:val="0094721E"/>
    <w:rsid w:val="009E44C1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757F5"/>
    <w:rsid w:val="00DA4715"/>
    <w:rsid w:val="00DE16AD"/>
    <w:rsid w:val="00DF1C1D"/>
    <w:rsid w:val="00E1331D"/>
    <w:rsid w:val="00E7021A"/>
    <w:rsid w:val="00E87733"/>
    <w:rsid w:val="00F74399"/>
    <w:rsid w:val="00F95123"/>
    <w:rsid w:val="00F9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9E44C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E44C1"/>
  </w:style>
  <w:style w:type="character" w:styleId="a9">
    <w:name w:val="footnote reference"/>
    <w:basedOn w:val="a0"/>
    <w:rsid w:val="009E44C1"/>
    <w:rPr>
      <w:vertAlign w:val="superscript"/>
    </w:rPr>
  </w:style>
  <w:style w:type="character" w:styleId="aa">
    <w:name w:val="Hyperlink"/>
    <w:basedOn w:val="a0"/>
    <w:rsid w:val="009E44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G-Lotot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AB2B8-4BA3-48B6-88CE-6AC4318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10</TotalTime>
  <Pages>1</Pages>
  <Words>423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ТОКОВОЙ ОБОЛОЧКИ САМОСЖИМАЮЩЕГОСЯ ПЛАЗМЕННОГО РАЗРЯДА ПРИ ВНЕШНЕЙ ИНЖЕКЦИИ ГАЗОВЫХ СТРУЙ</dc:title>
  <dc:creator>sato</dc:creator>
  <cp:lastModifiedBy>Сатунин</cp:lastModifiedBy>
  <cp:revision>3</cp:revision>
  <cp:lastPrinted>1601-01-01T00:00:00Z</cp:lastPrinted>
  <dcterms:created xsi:type="dcterms:W3CDTF">2020-02-17T14:36:00Z</dcterms:created>
  <dcterms:modified xsi:type="dcterms:W3CDTF">2020-04-22T11:19:00Z</dcterms:modified>
</cp:coreProperties>
</file>