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10" w:rsidRPr="00517EA0" w:rsidRDefault="006E1010" w:rsidP="006E1010">
      <w:pPr>
        <w:pStyle w:val="Zv-Titlereport"/>
      </w:pPr>
      <w:r w:rsidRPr="00174852">
        <w:t>Моделирование мишеней прямого облучения для мегаджоульных лазерных установок с учетом нелокального электронного теплопереноса, генерации быстрых электронов и вынужденного рассеяния лазерного излучения</w:t>
      </w:r>
      <w:r w:rsidR="00517EA0" w:rsidRPr="00517EA0">
        <w:t xml:space="preserve"> </w:t>
      </w:r>
      <w:r w:rsidR="00517EA0">
        <w:rPr>
          <w:rStyle w:val="aa"/>
        </w:rPr>
        <w:footnoteReference w:customMarkFollows="1" w:id="1"/>
        <w:t>*)</w:t>
      </w:r>
    </w:p>
    <w:p w:rsidR="006E1010" w:rsidRPr="002F505C" w:rsidRDefault="006E1010" w:rsidP="006E1010">
      <w:pPr>
        <w:pStyle w:val="Zv-Author"/>
      </w:pPr>
      <w:r w:rsidRPr="00B8265E">
        <w:t>Лыков</w:t>
      </w:r>
      <w:r>
        <w:t xml:space="preserve"> </w:t>
      </w:r>
      <w:r w:rsidRPr="00B8265E">
        <w:t>В.А.</w:t>
      </w:r>
      <w:r>
        <w:t xml:space="preserve">, </w:t>
      </w:r>
      <w:r w:rsidRPr="00B8265E">
        <w:t>Карлыханов</w:t>
      </w:r>
      <w:r>
        <w:t xml:space="preserve"> Н.Г.</w:t>
      </w:r>
      <w:r w:rsidRPr="00B8265E">
        <w:t>, Рыкованов</w:t>
      </w:r>
      <w:r w:rsidRPr="000C6D3B">
        <w:t xml:space="preserve"> </w:t>
      </w:r>
      <w:r w:rsidRPr="00B8265E">
        <w:t>Г.Н.</w:t>
      </w:r>
      <w:r>
        <w:t xml:space="preserve">, </w:t>
      </w:r>
      <w:r w:rsidRPr="00B8265E">
        <w:t>Химич</w:t>
      </w:r>
      <w:r w:rsidRPr="000C6D3B">
        <w:t xml:space="preserve"> </w:t>
      </w:r>
      <w:r w:rsidRPr="00B8265E">
        <w:t>И.А.</w:t>
      </w:r>
    </w:p>
    <w:p w:rsidR="006E1010" w:rsidRPr="002F505C" w:rsidRDefault="006E1010" w:rsidP="006E1010">
      <w:pPr>
        <w:pStyle w:val="Zv-Organization"/>
        <w:rPr>
          <w:rStyle w:val="a7"/>
        </w:rPr>
      </w:pPr>
      <w:r w:rsidRPr="00B8265E">
        <w:t>РФЯЦ-ВНИИТФ им. академика Е.И.</w:t>
      </w:r>
      <w:r>
        <w:t xml:space="preserve"> Забабахина, Снежинск, Россия, </w:t>
      </w:r>
      <w:hyperlink r:id="rId8" w:history="1">
        <w:r w:rsidRPr="00B8265E">
          <w:rPr>
            <w:rStyle w:val="a7"/>
            <w:lang w:val="en-US"/>
          </w:rPr>
          <w:t>v</w:t>
        </w:r>
      </w:hyperlink>
      <w:hyperlink r:id="rId9" w:history="1">
        <w:r w:rsidRPr="00400022">
          <w:rPr>
            <w:rStyle w:val="a7"/>
          </w:rPr>
          <w:t>.</w:t>
        </w:r>
      </w:hyperlink>
      <w:hyperlink r:id="rId10" w:history="1">
        <w:r w:rsidRPr="00B8265E">
          <w:rPr>
            <w:rStyle w:val="a7"/>
            <w:lang w:val="en-US"/>
          </w:rPr>
          <w:t>a</w:t>
        </w:r>
      </w:hyperlink>
      <w:hyperlink r:id="rId11" w:history="1">
        <w:r w:rsidRPr="00BA3663">
          <w:rPr>
            <w:rStyle w:val="a7"/>
          </w:rPr>
          <w:t>.</w:t>
        </w:r>
      </w:hyperlink>
      <w:hyperlink r:id="rId12" w:history="1">
        <w:r w:rsidRPr="00B8265E">
          <w:rPr>
            <w:rStyle w:val="a7"/>
            <w:lang w:val="en-US"/>
          </w:rPr>
          <w:t>lykov</w:t>
        </w:r>
      </w:hyperlink>
      <w:hyperlink r:id="rId13" w:history="1">
        <w:r w:rsidRPr="00BA3663">
          <w:rPr>
            <w:rStyle w:val="a7"/>
          </w:rPr>
          <w:t>@</w:t>
        </w:r>
      </w:hyperlink>
      <w:hyperlink r:id="rId14" w:history="1">
        <w:r w:rsidRPr="00B8265E">
          <w:rPr>
            <w:rStyle w:val="a7"/>
            <w:lang w:val="en-US"/>
          </w:rPr>
          <w:t>vniitf</w:t>
        </w:r>
      </w:hyperlink>
      <w:hyperlink r:id="rId15" w:history="1">
        <w:r w:rsidRPr="00BA3663">
          <w:rPr>
            <w:rStyle w:val="a7"/>
          </w:rPr>
          <w:t>.</w:t>
        </w:r>
      </w:hyperlink>
      <w:hyperlink r:id="rId16" w:history="1">
        <w:r w:rsidRPr="00B8265E">
          <w:rPr>
            <w:rStyle w:val="a7"/>
            <w:lang w:val="en-US"/>
          </w:rPr>
          <w:t>ru</w:t>
        </w:r>
      </w:hyperlink>
    </w:p>
    <w:p w:rsidR="006E1010" w:rsidRPr="000E6B0C" w:rsidRDefault="006E1010" w:rsidP="006E1010">
      <w:pPr>
        <w:pStyle w:val="Zv-bodyreport"/>
      </w:pPr>
      <w:r>
        <w:t>Представлен обзор расчетно-теоретических работ, выполненных в РФЯЦ-ВНИИТФ по численному моделированию мишеней прямого облучения. В одномерной программе</w:t>
      </w:r>
      <w:r w:rsidRPr="00BA3663">
        <w:t xml:space="preserve"> радиационной газовой динамики ЭРА </w:t>
      </w:r>
      <w:r>
        <w:t xml:space="preserve">реализованы модели </w:t>
      </w:r>
      <w:r w:rsidRPr="00BA3663">
        <w:t>нелокального электронного теплопереноса и поглощения лазерного излучения (ЛИ)</w:t>
      </w:r>
      <w:r>
        <w:t xml:space="preserve"> с учетом </w:t>
      </w:r>
      <w:r w:rsidRPr="00BA3663">
        <w:t xml:space="preserve"> вынужденно</w:t>
      </w:r>
      <w:r>
        <w:t xml:space="preserve">го </w:t>
      </w:r>
      <w:r w:rsidRPr="00BA3663">
        <w:t>Бриллюэновс</w:t>
      </w:r>
      <w:r>
        <w:t>кого рассеяния (ВРМБ), генерации</w:t>
      </w:r>
      <w:r w:rsidRPr="00BA3663">
        <w:t xml:space="preserve"> быстрых электронов в процессах двухплазмонного распада (ДПР) и вынужденного Рамановского рассеяния (ВРР). </w:t>
      </w:r>
      <w:r w:rsidRPr="009F00A4">
        <w:t xml:space="preserve">Разработана математическая программа для </w:t>
      </w:r>
      <w:r>
        <w:t xml:space="preserve">проведения </w:t>
      </w:r>
      <w:r w:rsidRPr="009F00A4">
        <w:t xml:space="preserve">расчетов </w:t>
      </w:r>
      <w:r>
        <w:t xml:space="preserve">распространения и </w:t>
      </w:r>
      <w:r w:rsidRPr="009F00A4">
        <w:t xml:space="preserve">поглощения </w:t>
      </w:r>
      <w:r>
        <w:t>ЛИ в</w:t>
      </w:r>
      <w:r w:rsidRPr="009F00A4">
        <w:t xml:space="preserve"> короне сферических мишеней с учетом передачи энергии при пересечении лазерных </w:t>
      </w:r>
      <w:r>
        <w:t>пучков (</w:t>
      </w:r>
      <w:r>
        <w:rPr>
          <w:lang w:val="en-US"/>
        </w:rPr>
        <w:t>cross</w:t>
      </w:r>
      <w:r w:rsidRPr="00112020">
        <w:t>-</w:t>
      </w:r>
      <w:r>
        <w:rPr>
          <w:lang w:val="en-US"/>
        </w:rPr>
        <w:t>beam</w:t>
      </w:r>
      <w:r w:rsidRPr="00112020">
        <w:t xml:space="preserve"> </w:t>
      </w:r>
      <w:r>
        <w:rPr>
          <w:lang w:val="en-US"/>
        </w:rPr>
        <w:t>energy</w:t>
      </w:r>
      <w:r w:rsidRPr="00112020">
        <w:t xml:space="preserve"> </w:t>
      </w:r>
      <w:r>
        <w:rPr>
          <w:lang w:val="en-US"/>
        </w:rPr>
        <w:t>transfer</w:t>
      </w:r>
      <w:r w:rsidRPr="00112020">
        <w:t xml:space="preserve"> - </w:t>
      </w:r>
      <w:r>
        <w:t xml:space="preserve">CBET) </w:t>
      </w:r>
      <w:r w:rsidRPr="009F00A4">
        <w:t>для реальной геометрии облучения</w:t>
      </w:r>
      <w:r>
        <w:t xml:space="preserve"> мишени на лазерных установках. </w:t>
      </w:r>
      <w:r w:rsidRPr="009F00A4">
        <w:t>Проведена верификация этих моделей и программ на основе сравнения с экспериментальными данными, полученными на лазерных установках OMEGA и NIF.</w:t>
      </w:r>
      <w:r>
        <w:t xml:space="preserve">  </w:t>
      </w:r>
    </w:p>
    <w:p w:rsidR="006E1010" w:rsidRPr="002F505C" w:rsidRDefault="006E1010" w:rsidP="006E1010">
      <w:pPr>
        <w:pStyle w:val="Zv-bodyreport"/>
      </w:pPr>
      <w:r>
        <w:t>По программе ЭРА в</w:t>
      </w:r>
      <w:r w:rsidRPr="009F00A4">
        <w:t xml:space="preserve">ыполнены расчеты мишеней прямого облучения для мегаджоульных установок с длиной волны </w:t>
      </w:r>
      <w:r>
        <w:t xml:space="preserve">ЛИ </w:t>
      </w:r>
      <w:r w:rsidRPr="009F00A4">
        <w:t xml:space="preserve">λ = 0,53 мкм и λ = 0,35 мкм. </w:t>
      </w:r>
      <w:r w:rsidRPr="00F81108">
        <w:t xml:space="preserve">В качестве целевой функции при оптимизации мишеней </w:t>
      </w:r>
      <w:r>
        <w:t xml:space="preserve">принят </w:t>
      </w:r>
      <w:r w:rsidRPr="00F81108">
        <w:t xml:space="preserve">запас по </w:t>
      </w:r>
      <w:r>
        <w:t xml:space="preserve">термоядерному </w:t>
      </w:r>
      <w:r w:rsidRPr="00F81108">
        <w:t xml:space="preserve">зажиганию </w:t>
      </w:r>
      <w:r>
        <w:t xml:space="preserve">для </w:t>
      </w:r>
      <w:r w:rsidRPr="00F81108">
        <w:t>неоднородной мишени</w:t>
      </w:r>
      <w:r>
        <w:t xml:space="preserve"> </w:t>
      </w:r>
      <w:r w:rsidRPr="00F81108">
        <w:t>[</w:t>
      </w:r>
      <w:r>
        <w:t>1</w:t>
      </w:r>
      <w:r w:rsidRPr="00F81108">
        <w:t>]. Эта величина вычисляется по профилям газодинамических величин без учета вклада продуктов термоядерных реакций в нагрев ДТ топлива и м</w:t>
      </w:r>
      <w:r>
        <w:t>ожет быть представлена в виде</w:t>
      </w:r>
      <w:r w:rsidRPr="00F81108">
        <w:t xml:space="preserve">: </w:t>
      </w:r>
    </w:p>
    <w:p w:rsidR="006E1010" w:rsidRPr="002F505C" w:rsidRDefault="006E1010" w:rsidP="006E1010">
      <w:pPr>
        <w:pStyle w:val="Zv-formula"/>
        <w:rPr>
          <w:lang w:val="en-US"/>
        </w:rPr>
      </w:pPr>
      <w:r w:rsidRPr="002F505C">
        <w:t xml:space="preserve"> </w:t>
      </w:r>
      <w:r w:rsidRPr="002F505C">
        <w:tab/>
      </w:r>
      <w:r w:rsidRPr="002F505C">
        <w:rPr>
          <w:position w:val="-32"/>
        </w:rPr>
        <w:object w:dxaOrig="2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38.25pt" o:ole="" filled="t">
            <v:fill color2="black"/>
            <v:imagedata r:id="rId17" o:title=""/>
          </v:shape>
          <o:OLEObject Type="Embed" ProgID="Equation.DSMT4" ShapeID="_x0000_i1025" DrawAspect="Content" ObjectID="_1649069108" r:id="rId18"/>
        </w:object>
      </w:r>
    </w:p>
    <w:p w:rsidR="006E1010" w:rsidRPr="00F81108" w:rsidRDefault="006E1010" w:rsidP="006E1010">
      <w:pPr>
        <w:pStyle w:val="Zv-bodyreportcont"/>
      </w:pPr>
      <w:r w:rsidRPr="00F81108">
        <w:t xml:space="preserve">где:  </w:t>
      </w:r>
      <w:r w:rsidRPr="00F81108">
        <w:rPr>
          <w:i/>
          <w:lang w:val="en-US"/>
        </w:rPr>
        <w:t>dQ</w:t>
      </w:r>
      <w:r w:rsidRPr="00F81108">
        <w:rPr>
          <w:i/>
          <w:vertAlign w:val="subscript"/>
          <w:lang w:val="en-US"/>
        </w:rPr>
        <w:t>fus</w:t>
      </w:r>
      <w:r w:rsidRPr="00F81108">
        <w:rPr>
          <w:i/>
        </w:rPr>
        <w:t>/</w:t>
      </w:r>
      <w:r w:rsidRPr="00F81108">
        <w:rPr>
          <w:i/>
          <w:lang w:val="en-US"/>
        </w:rPr>
        <w:t>dt</w:t>
      </w:r>
      <w:r w:rsidRPr="00F81108">
        <w:t xml:space="preserve"> -  скорость нагрева продуктами т</w:t>
      </w:r>
      <w:r>
        <w:t xml:space="preserve">.я. </w:t>
      </w:r>
      <w:r w:rsidRPr="00F81108">
        <w:t xml:space="preserve">реакций  </w:t>
      </w:r>
      <w:r>
        <w:t xml:space="preserve">«горячего пятна» - </w:t>
      </w:r>
      <w:r w:rsidRPr="00F81108">
        <w:t xml:space="preserve">центральной области мишени с температурой </w:t>
      </w:r>
      <w:r w:rsidRPr="00870342">
        <w:rPr>
          <w:i/>
          <w:lang w:val="en-US"/>
        </w:rPr>
        <w:t>T</w:t>
      </w:r>
      <w:r w:rsidRPr="00870342">
        <w:t xml:space="preserve"> </w:t>
      </w:r>
      <w:r w:rsidRPr="00F81108">
        <w:t>&gt;</w:t>
      </w:r>
      <w:r w:rsidRPr="00870342">
        <w:t xml:space="preserve"> </w:t>
      </w:r>
      <w:r w:rsidRPr="00F81108">
        <w:t xml:space="preserve">1 кэВ,  </w:t>
      </w:r>
      <w:r w:rsidRPr="00F81108">
        <w:rPr>
          <w:i/>
          <w:lang w:val="en-US"/>
        </w:rPr>
        <w:t>E</w:t>
      </w:r>
      <w:r w:rsidRPr="00F81108">
        <w:rPr>
          <w:i/>
        </w:rPr>
        <w:t xml:space="preserve"> </w:t>
      </w:r>
      <w:r w:rsidRPr="00F81108">
        <w:t xml:space="preserve">- внутренняя энергия </w:t>
      </w:r>
      <w:r>
        <w:t>этой области</w:t>
      </w:r>
      <w:r w:rsidRPr="00F81108">
        <w:t xml:space="preserve">,  </w:t>
      </w:r>
      <w:r w:rsidRPr="00F81108">
        <w:rPr>
          <w:i/>
          <w:lang w:val="en-US"/>
        </w:rPr>
        <w:t>Q</w:t>
      </w:r>
      <w:r w:rsidRPr="00F81108">
        <w:rPr>
          <w:i/>
        </w:rPr>
        <w:t xml:space="preserve"> </w:t>
      </w:r>
      <w:r w:rsidRPr="00F81108">
        <w:t xml:space="preserve">- потери энергии за счет электронной теплопроводности и переноса излучения, </w:t>
      </w:r>
      <w:r w:rsidRPr="00870342">
        <w:rPr>
          <w:i/>
          <w:lang w:val="en-US"/>
        </w:rPr>
        <w:t>n</w:t>
      </w:r>
      <w:r w:rsidRPr="00F81108">
        <w:t xml:space="preserve"> - показатель при аппроксимации скорости т</w:t>
      </w:r>
      <w:r>
        <w:t xml:space="preserve">.я. </w:t>
      </w:r>
      <w:r w:rsidRPr="00F81108">
        <w:t xml:space="preserve">реакций </w:t>
      </w:r>
      <w:r>
        <w:t>степенной функцией температуры</w:t>
      </w:r>
      <w:r w:rsidRPr="00F81108">
        <w:t>,</w:t>
      </w:r>
      <w:r w:rsidRPr="00870342">
        <w:t xml:space="preserve"> </w:t>
      </w:r>
      <w:r w:rsidRPr="00F81108">
        <w:rPr>
          <w:position w:val="-12"/>
        </w:rPr>
        <w:object w:dxaOrig="200" w:dyaOrig="360">
          <v:shape id="_x0000_i1026" type="#_x0000_t75" style="width:9.75pt;height:18.75pt" o:ole="" filled="t">
            <v:fill color2="black"/>
            <v:imagedata r:id="rId19" o:title=""/>
          </v:shape>
          <o:OLEObject Type="Embed" ProgID="Equation.DSMT4" ShapeID="_x0000_i1026" DrawAspect="Content" ObjectID="_1649069109" r:id="rId20"/>
        </w:object>
      </w:r>
      <w:r w:rsidRPr="00F81108">
        <w:t>- момент максимального сжатия мишени.</w:t>
      </w:r>
    </w:p>
    <w:p w:rsidR="006E1010" w:rsidRDefault="006E1010" w:rsidP="006E1010">
      <w:pPr>
        <w:pStyle w:val="Zv-bodyreport"/>
      </w:pPr>
      <w:r w:rsidRPr="00BA3663">
        <w:t>Показано, что ВРМБ и разогрев мишени быстрыми электронами, возникающими в процессах Д</w:t>
      </w:r>
      <w:r>
        <w:t>ПР и ВРР, катастрофически снижаю</w:t>
      </w:r>
      <w:r w:rsidRPr="00BA3663">
        <w:t xml:space="preserve">т </w:t>
      </w:r>
      <w:r>
        <w:t xml:space="preserve">запасы по зажиганию </w:t>
      </w:r>
      <w:r w:rsidRPr="00BA3663">
        <w:t>мишеней с СН-абл</w:t>
      </w:r>
      <w:r>
        <w:t xml:space="preserve">ятором в случае использования ЛИ </w:t>
      </w:r>
      <w:r w:rsidRPr="00BA3663">
        <w:t xml:space="preserve">с длиной волны λ = 0,53 мкм. </w:t>
      </w:r>
      <w:r>
        <w:t>З</w:t>
      </w:r>
      <w:r w:rsidRPr="00BA3663">
        <w:t xml:space="preserve">апасы </w:t>
      </w:r>
      <w:r w:rsidRPr="00BA3663">
        <w:rPr>
          <w:lang w:val="en-US"/>
        </w:rPr>
        <w:t>W</w:t>
      </w:r>
      <w:r w:rsidRPr="00BA3663">
        <w:rPr>
          <w:vertAlign w:val="subscript"/>
          <w:lang w:val="en-US"/>
        </w:rPr>
        <w:t>Q</w:t>
      </w:r>
      <w:r w:rsidRPr="00BA3663">
        <w:t xml:space="preserve"> возрастают в  ~ 2 раза при увеличении аспектного отношения </w:t>
      </w:r>
      <w:r w:rsidRPr="00BA3663">
        <w:rPr>
          <w:lang w:val="en-US"/>
        </w:rPr>
        <w:t>CH</w:t>
      </w:r>
      <w:r w:rsidRPr="00BA3663">
        <w:t xml:space="preserve">-оболочки в ~1,6 раза или при переходе на аблятор из стекла. Однако </w:t>
      </w:r>
      <w:r>
        <w:t xml:space="preserve">во всех случаях </w:t>
      </w:r>
      <w:r w:rsidRPr="00BA3663">
        <w:rPr>
          <w:lang w:val="en-US"/>
        </w:rPr>
        <w:t>W</w:t>
      </w:r>
      <w:r w:rsidRPr="00BA3663">
        <w:rPr>
          <w:vertAlign w:val="subscript"/>
          <w:lang w:val="en-US"/>
        </w:rPr>
        <w:t>Q</w:t>
      </w:r>
      <w:r w:rsidRPr="00BA3663">
        <w:t xml:space="preserve"> </w:t>
      </w:r>
      <w:r w:rsidRPr="009F00A4">
        <w:t xml:space="preserve">&lt;1 </w:t>
      </w:r>
      <w:r w:rsidRPr="00BA3663">
        <w:t xml:space="preserve">для ЛИ  с λ = 0,53 мкм. Запасы </w:t>
      </w:r>
      <w:r w:rsidRPr="00BA3663">
        <w:rPr>
          <w:lang w:val="en-US"/>
        </w:rPr>
        <w:t>W</w:t>
      </w:r>
      <w:r w:rsidRPr="00BA3663">
        <w:rPr>
          <w:vertAlign w:val="subscript"/>
          <w:lang w:val="en-US"/>
        </w:rPr>
        <w:t>Q</w:t>
      </w:r>
      <w:r w:rsidRPr="00BA3663">
        <w:t xml:space="preserve"> возрастают в 2-3 раза при переходе </w:t>
      </w:r>
      <w:r>
        <w:t xml:space="preserve">со 2-ой </w:t>
      </w:r>
      <w:r w:rsidRPr="00BA3663">
        <w:t>на 3-ю гармонику излучения Nd-лазера.</w:t>
      </w:r>
    </w:p>
    <w:p w:rsidR="006E1010" w:rsidRPr="00DC4881" w:rsidRDefault="006E1010" w:rsidP="006E1010">
      <w:pPr>
        <w:pStyle w:val="Zv-bodyreport"/>
      </w:pPr>
      <w:r>
        <w:t xml:space="preserve">Трехмерные </w:t>
      </w:r>
      <w:r w:rsidRPr="00EF20C5">
        <w:t xml:space="preserve">расчеты </w:t>
      </w:r>
      <w:r>
        <w:t xml:space="preserve">распространения ЛИ в короне </w:t>
      </w:r>
      <w:r w:rsidRPr="00EF20C5">
        <w:t>мишен</w:t>
      </w:r>
      <w:r>
        <w:t xml:space="preserve">и </w:t>
      </w:r>
      <w:r w:rsidRPr="00EF20C5">
        <w:t>прямого облучения</w:t>
      </w:r>
      <w:r>
        <w:t xml:space="preserve"> с учетом СВЕТ</w:t>
      </w:r>
      <w:r w:rsidRPr="00EF20C5">
        <w:t xml:space="preserve"> показали, что </w:t>
      </w:r>
      <w:r>
        <w:t xml:space="preserve">этот процесс </w:t>
      </w:r>
      <w:r w:rsidRPr="00EF20C5">
        <w:t xml:space="preserve">может снизить долю поглощенной лазерной энергии до 2-х раз в экспериментах на 48-лучевой установке с энергией ~ 2 МДж в излучении </w:t>
      </w:r>
      <w:r>
        <w:t xml:space="preserve">2-ой </w:t>
      </w:r>
      <w:r w:rsidRPr="00EF20C5">
        <w:t xml:space="preserve">гармоники Nd-лазера. </w:t>
      </w:r>
      <w:r>
        <w:t xml:space="preserve">Однако </w:t>
      </w:r>
      <w:r w:rsidRPr="00EF20C5">
        <w:t>введение смещ</w:t>
      </w:r>
      <w:r>
        <w:t>ения длин волн</w:t>
      </w:r>
      <w:r w:rsidRPr="00EF20C5">
        <w:t xml:space="preserve"> в соседних лазерных пучках на Δλ =10 - 20 </w:t>
      </w:r>
      <w:r w:rsidRPr="00427AEC">
        <w:rPr>
          <w:rFonts w:ascii="Cambria Math" w:hAnsi="Cambria Math" w:cs="Cambria Math"/>
        </w:rPr>
        <w:t>Å</w:t>
      </w:r>
      <w:r w:rsidRPr="00EF20C5">
        <w:t xml:space="preserve"> позволит уменьшить </w:t>
      </w:r>
      <w:r>
        <w:t>потери энергии ЛИ  за счет СВЕТ до 10 - 2</w:t>
      </w:r>
      <w:r w:rsidRPr="00EF20C5">
        <w:t>0%</w:t>
      </w:r>
      <w:r>
        <w:t>.</w:t>
      </w:r>
    </w:p>
    <w:p w:rsidR="006E1010" w:rsidRPr="00DC4881" w:rsidRDefault="006E1010" w:rsidP="006E1010">
      <w:pPr>
        <w:pStyle w:val="Zv-TitleReferences-ru"/>
      </w:pPr>
      <w:r w:rsidRPr="00184530">
        <w:t>Литература</w:t>
      </w:r>
    </w:p>
    <w:p w:rsidR="006E1010" w:rsidRPr="00B8265E" w:rsidRDefault="006E1010" w:rsidP="006E1010">
      <w:pPr>
        <w:pStyle w:val="Zv-References-ru"/>
        <w:numPr>
          <w:ilvl w:val="0"/>
          <w:numId w:val="1"/>
        </w:numPr>
      </w:pPr>
      <w:r w:rsidRPr="00086AFB">
        <w:t>Аврорин</w:t>
      </w:r>
      <w:r>
        <w:t xml:space="preserve"> </w:t>
      </w:r>
      <w:r w:rsidRPr="00086AFB">
        <w:t>Е.Н., Феоктистов</w:t>
      </w:r>
      <w:r>
        <w:t xml:space="preserve"> </w:t>
      </w:r>
      <w:r w:rsidRPr="00086AFB">
        <w:t>Л.П., Шибаршов</w:t>
      </w:r>
      <w:r>
        <w:t xml:space="preserve"> Л.И., </w:t>
      </w:r>
      <w:r w:rsidRPr="00086AFB">
        <w:t xml:space="preserve">Физика плазмы </w:t>
      </w:r>
      <w:r w:rsidRPr="00E42256">
        <w:rPr>
          <w:b/>
        </w:rPr>
        <w:t>6</w:t>
      </w:r>
      <w:r w:rsidRPr="0041515A">
        <w:t xml:space="preserve"> </w:t>
      </w:r>
      <w:r w:rsidRPr="00E42256">
        <w:t>(5)</w:t>
      </w:r>
      <w:r w:rsidRPr="00086AFB">
        <w:t>, 965-972, (1980).</w:t>
      </w:r>
      <w:r w:rsidRPr="00BA3663">
        <w:rPr>
          <w:caps/>
          <w:sz w:val="20"/>
        </w:rPr>
        <w:t xml:space="preserve"> </w:t>
      </w:r>
    </w:p>
    <w:p w:rsidR="00654A7B" w:rsidRPr="00517EA0" w:rsidRDefault="00654A7B"/>
    <w:sectPr w:rsidR="00654A7B" w:rsidRPr="00517EA0" w:rsidSect="00F95123">
      <w:headerReference w:type="default" r:id="rId21"/>
      <w:footerReference w:type="even" r:id="rId22"/>
      <w:footerReference w:type="default" r:id="rId2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C1" w:rsidRDefault="00DA25C1">
      <w:r>
        <w:separator/>
      </w:r>
    </w:p>
  </w:endnote>
  <w:endnote w:type="continuationSeparator" w:id="0">
    <w:p w:rsidR="00DA25C1" w:rsidRDefault="00DA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7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7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EA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C1" w:rsidRDefault="00DA25C1">
      <w:r>
        <w:separator/>
      </w:r>
    </w:p>
  </w:footnote>
  <w:footnote w:type="continuationSeparator" w:id="0">
    <w:p w:rsidR="00DA25C1" w:rsidRDefault="00DA25C1">
      <w:r>
        <w:continuationSeparator/>
      </w:r>
    </w:p>
  </w:footnote>
  <w:footnote w:id="1">
    <w:p w:rsidR="00517EA0" w:rsidRPr="00517EA0" w:rsidRDefault="00517EA0">
      <w:pPr>
        <w:pStyle w:val="a8"/>
        <w:rPr>
          <w:sz w:val="22"/>
          <w:szCs w:val="22"/>
          <w:lang w:val="en-US"/>
        </w:rPr>
      </w:pPr>
      <w:r w:rsidRPr="00517EA0">
        <w:rPr>
          <w:rStyle w:val="aa"/>
          <w:sz w:val="22"/>
          <w:szCs w:val="22"/>
        </w:rPr>
        <w:t>*)</w:t>
      </w:r>
      <w:r w:rsidRPr="00517EA0">
        <w:rPr>
          <w:sz w:val="22"/>
          <w:szCs w:val="22"/>
        </w:rPr>
        <w:t xml:space="preserve">  </w:t>
      </w:r>
      <w:hyperlink r:id="rId1" w:history="1">
        <w:r w:rsidRPr="00517EA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D773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25C1"/>
    <w:rsid w:val="00037DCC"/>
    <w:rsid w:val="00043701"/>
    <w:rsid w:val="000C7078"/>
    <w:rsid w:val="000D76E9"/>
    <w:rsid w:val="000E495B"/>
    <w:rsid w:val="00140645"/>
    <w:rsid w:val="00171964"/>
    <w:rsid w:val="001C0CCB"/>
    <w:rsid w:val="001D773F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7EA0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E1010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25C1"/>
    <w:rsid w:val="00DA4715"/>
    <w:rsid w:val="00DE16AD"/>
    <w:rsid w:val="00DF1C1D"/>
    <w:rsid w:val="00E1331D"/>
    <w:rsid w:val="00E7021A"/>
    <w:rsid w:val="00E87733"/>
    <w:rsid w:val="00EC55C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E1010"/>
    <w:rPr>
      <w:color w:val="0000FF"/>
      <w:u w:val="single"/>
    </w:rPr>
  </w:style>
  <w:style w:type="paragraph" w:customStyle="1" w:styleId="Default">
    <w:name w:val="Default"/>
    <w:rsid w:val="006E1010"/>
    <w:pPr>
      <w:suppressAutoHyphens/>
      <w:autoSpaceDE w:val="0"/>
    </w:pPr>
    <w:rPr>
      <w:rFonts w:ascii="Verdana" w:hAnsi="Verdana" w:cs="Verdana"/>
      <w:bCs/>
      <w:color w:val="000000"/>
      <w:sz w:val="24"/>
      <w:szCs w:val="24"/>
      <w:lang w:eastAsia="zh-CN"/>
    </w:rPr>
  </w:style>
  <w:style w:type="paragraph" w:styleId="a8">
    <w:name w:val="footnote text"/>
    <w:basedOn w:val="a"/>
    <w:link w:val="a9"/>
    <w:rsid w:val="00517EA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7EA0"/>
  </w:style>
  <w:style w:type="character" w:styleId="aa">
    <w:name w:val="footnote reference"/>
    <w:basedOn w:val="a0"/>
    <w:rsid w:val="00517E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.lykov@vniitf.ru" TargetMode="External"/><Relationship Id="rId13" Type="http://schemas.openxmlformats.org/officeDocument/2006/relationships/hyperlink" Target="mailto:v.a.lykov@vniitf.ru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v.a.lykov@vniitf.ru" TargetMode="Externa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.a.lykov@vniitf.ru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a.lykov@vniitf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.a.lykov@vniitf.ru" TargetMode="External"/><Relationship Id="rId23" Type="http://schemas.openxmlformats.org/officeDocument/2006/relationships/footer" Target="footer2.xml"/><Relationship Id="rId10" Type="http://schemas.openxmlformats.org/officeDocument/2006/relationships/hyperlink" Target="mailto:v.a.lykov@vniitf.ru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v.a.lykov@vniitf.ru" TargetMode="External"/><Relationship Id="rId14" Type="http://schemas.openxmlformats.org/officeDocument/2006/relationships/hyperlink" Target="mailto:v.a.lykov@vniitf.ru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D-Ly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50825-4D23-4D8D-8420-639378E1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421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МИШЕНЕЙ ПРЯМОГО ОБЛУЧЕНИЯ ДЛЯ МЕГАДЖОУЛЬНЫХ ЛАЗЕРНЫХ УСТАНОВОК С УЧЕТОМ НЕЛОКАЛЬНОГО ЭЛЕКТРОННОГО ТЕПЛОПЕРЕНОСА, ГЕНЕРАЦИИ БЫСТРЫХ ЭЛЕКТРОНОВ И ВЫНУЖДЕННОГО РАССЕЯНИЯ ЛАЗЕРНОГО ИЗЛУЧЕНИЯ</dc:title>
  <dc:creator>sato</dc:creator>
  <cp:lastModifiedBy>Сатунин</cp:lastModifiedBy>
  <cp:revision>2</cp:revision>
  <cp:lastPrinted>1601-01-01T00:00:00Z</cp:lastPrinted>
  <dcterms:created xsi:type="dcterms:W3CDTF">2020-02-17T11:58:00Z</dcterms:created>
  <dcterms:modified xsi:type="dcterms:W3CDTF">2020-04-22T10:59:00Z</dcterms:modified>
</cp:coreProperties>
</file>