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79" w:rsidRDefault="001C2FBA" w:rsidP="001C2FBA">
      <w:pPr>
        <w:pStyle w:val="Zv-Titlereport"/>
        <w:spacing w:line="216" w:lineRule="auto"/>
        <w:rPr>
          <w:rFonts w:eastAsia="Calibri"/>
          <w:lang w:val="en-US" w:eastAsia="en-US"/>
        </w:rPr>
      </w:pPr>
      <w:r w:rsidRPr="001C2FBA">
        <w:rPr>
          <w:rFonts w:eastAsia="Calibri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85pt;margin-top:-24.4pt;width:192pt;height:26.25pt;z-index:-251656192;mso-position-horizontal:absolute" stroked="f" strokecolor="red">
            <v:textbox style="mso-next-textbox:#_x0000_s1028">
              <w:txbxContent>
                <w:p w:rsidR="001C2FBA" w:rsidRPr="0095603D" w:rsidRDefault="001C2FB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C2FBA">
                    <w:rPr>
                      <w:sz w:val="22"/>
                      <w:szCs w:val="22"/>
                    </w:rPr>
                    <w:t>10.34854/ICPAF.2020.47.1.087</w:t>
                  </w:r>
                </w:p>
              </w:txbxContent>
            </v:textbox>
            <w10:anchorlock/>
          </v:shape>
        </w:pict>
      </w:r>
      <w:r w:rsidR="005B6379">
        <w:rPr>
          <w:rFonts w:eastAsia="Calibri"/>
          <w:lang w:val="en-US" w:eastAsia="en-US"/>
        </w:rPr>
        <w:t>Features of the interaction of plasma flows and the axial magnetic field during implosion of nested conical arrays</w:t>
      </w:r>
      <w:r>
        <w:rPr>
          <w:rFonts w:eastAsia="Calibri"/>
          <w:lang w:val="en-US" w:eastAsia="en-US"/>
        </w:rPr>
        <w:t xml:space="preserve"> </w:t>
      </w:r>
      <w:r>
        <w:rPr>
          <w:rStyle w:val="ac"/>
          <w:rFonts w:eastAsia="Calibri"/>
          <w:lang w:val="en-US" w:eastAsia="en-US"/>
        </w:rPr>
        <w:footnoteReference w:customMarkFollows="1" w:id="1"/>
        <w:t>*)</w:t>
      </w:r>
    </w:p>
    <w:p w:rsidR="005B6379" w:rsidRDefault="005B6379" w:rsidP="001C2FBA">
      <w:pPr>
        <w:pStyle w:val="Zv-Author"/>
        <w:spacing w:line="216" w:lineRule="auto"/>
        <w:rPr>
          <w:rFonts w:eastAsia="Calibri"/>
          <w:lang w:val="en-US" w:eastAsia="en-US"/>
        </w:rPr>
      </w:pPr>
      <w:r>
        <w:rPr>
          <w:rFonts w:eastAsia="Calibri"/>
          <w:vertAlign w:val="superscript"/>
          <w:lang w:val="en-US" w:eastAsia="en-US"/>
        </w:rPr>
        <w:t>1</w:t>
      </w:r>
      <w:r>
        <w:rPr>
          <w:rFonts w:eastAsia="Calibri"/>
          <w:lang w:val="en-US" w:eastAsia="en-US"/>
        </w:rPr>
        <w:t xml:space="preserve">Aleksandrov V.V., </w:t>
      </w:r>
      <w:r>
        <w:rPr>
          <w:rFonts w:eastAsia="Calibri"/>
          <w:vertAlign w:val="superscript"/>
          <w:lang w:val="en-US" w:eastAsia="en-US"/>
        </w:rPr>
        <w:t>1</w:t>
      </w:r>
      <w:r>
        <w:rPr>
          <w:rFonts w:eastAsia="Calibri"/>
          <w:lang w:val="en-US" w:eastAsia="en-US"/>
        </w:rPr>
        <w:t xml:space="preserve">Branitsky A.V., </w:t>
      </w:r>
      <w:r>
        <w:rPr>
          <w:rFonts w:eastAsia="Calibri"/>
          <w:vertAlign w:val="superscript"/>
          <w:lang w:val="en-US" w:eastAsia="en-US"/>
        </w:rPr>
        <w:t>2</w:t>
      </w:r>
      <w:r>
        <w:rPr>
          <w:rFonts w:eastAsia="Calibri"/>
          <w:lang w:val="en-US" w:eastAsia="en-US"/>
        </w:rPr>
        <w:t xml:space="preserve">Boldarev A.S. , </w:t>
      </w:r>
      <w:r>
        <w:rPr>
          <w:rFonts w:eastAsia="Calibri"/>
          <w:vertAlign w:val="superscript"/>
          <w:lang w:val="en-US" w:eastAsia="en-US"/>
        </w:rPr>
        <w:t>2</w:t>
      </w:r>
      <w:r>
        <w:rPr>
          <w:rFonts w:eastAsia="Calibri"/>
          <w:lang w:val="en-US" w:eastAsia="en-US"/>
        </w:rPr>
        <w:t xml:space="preserve">Vichev I.Yu., </w:t>
      </w:r>
      <w:r>
        <w:rPr>
          <w:rFonts w:eastAsia="Calibri"/>
          <w:vertAlign w:val="superscript"/>
          <w:lang w:val="en-US" w:eastAsia="en-US"/>
        </w:rPr>
        <w:t>2</w:t>
      </w:r>
      <w:r>
        <w:rPr>
          <w:rFonts w:eastAsia="Calibri"/>
          <w:lang w:val="en-US" w:eastAsia="en-US"/>
        </w:rPr>
        <w:t xml:space="preserve">Gasilov V.A., </w:t>
      </w:r>
      <w:r>
        <w:rPr>
          <w:rFonts w:eastAsia="Calibri"/>
          <w:vertAlign w:val="superscript"/>
          <w:lang w:val="en-US" w:eastAsia="en-US"/>
        </w:rPr>
        <w:t>1</w:t>
      </w:r>
      <w:r>
        <w:rPr>
          <w:rFonts w:eastAsia="Calibri"/>
          <w:lang w:val="en-US" w:eastAsia="en-US"/>
        </w:rPr>
        <w:t xml:space="preserve">Grabovsky E.V., </w:t>
      </w:r>
      <w:r>
        <w:rPr>
          <w:rFonts w:eastAsia="Calibri"/>
          <w:vertAlign w:val="superscript"/>
          <w:lang w:val="en-US" w:eastAsia="en-US"/>
        </w:rPr>
        <w:t>1</w:t>
      </w:r>
      <w:r>
        <w:rPr>
          <w:rFonts w:eastAsia="Calibri"/>
          <w:lang w:val="en-US" w:eastAsia="en-US"/>
        </w:rPr>
        <w:t xml:space="preserve">Gritsuk A.N., </w:t>
      </w:r>
      <w:r>
        <w:rPr>
          <w:rFonts w:eastAsia="Calibri"/>
          <w:vertAlign w:val="superscript"/>
          <w:lang w:val="en-US" w:eastAsia="en-US"/>
        </w:rPr>
        <w:t>1</w:t>
      </w:r>
      <w:r>
        <w:rPr>
          <w:rFonts w:eastAsia="Calibri"/>
          <w:lang w:val="en-US" w:eastAsia="en-US"/>
        </w:rPr>
        <w:t xml:space="preserve">Mitrofanov K.N., </w:t>
      </w:r>
      <w:r>
        <w:rPr>
          <w:rFonts w:eastAsia="Calibri"/>
          <w:vertAlign w:val="superscript"/>
          <w:lang w:val="en-US" w:eastAsia="en-US"/>
        </w:rPr>
        <w:t>2</w:t>
      </w:r>
      <w:r>
        <w:rPr>
          <w:rFonts w:eastAsia="Calibri"/>
          <w:lang w:val="en-US" w:eastAsia="en-US"/>
        </w:rPr>
        <w:t xml:space="preserve">Olkhovskaya O.G., </w:t>
      </w:r>
      <w:r>
        <w:rPr>
          <w:rFonts w:eastAsia="Calibri"/>
          <w:vertAlign w:val="superscript"/>
          <w:lang w:val="en-US" w:eastAsia="en-US"/>
        </w:rPr>
        <w:t>2</w:t>
      </w:r>
      <w:r>
        <w:rPr>
          <w:rFonts w:eastAsia="Calibri"/>
          <w:lang w:val="en-US" w:eastAsia="en-US"/>
        </w:rPr>
        <w:t xml:space="preserve">Sasorov P.V., </w:t>
      </w:r>
      <w:r>
        <w:rPr>
          <w:rFonts w:eastAsia="Calibri"/>
          <w:vertAlign w:val="superscript"/>
          <w:lang w:val="en-US" w:eastAsia="en-US"/>
        </w:rPr>
        <w:t>1</w:t>
      </w:r>
      <w:r>
        <w:rPr>
          <w:rFonts w:eastAsia="Calibri"/>
          <w:lang w:val="en-US" w:eastAsia="en-US"/>
        </w:rPr>
        <w:t>Shishlov A.O.</w:t>
      </w:r>
    </w:p>
    <w:p w:rsidR="005B6379" w:rsidRDefault="005B6379" w:rsidP="001C2FBA">
      <w:pPr>
        <w:pStyle w:val="Zv-Organization"/>
        <w:spacing w:line="216" w:lineRule="auto"/>
        <w:rPr>
          <w:rFonts w:eastAsia="Calibri"/>
          <w:lang w:val="en-US" w:eastAsia="en-US"/>
        </w:rPr>
      </w:pPr>
      <w:bookmarkStart w:id="0" w:name="_Hlk468117654"/>
      <w:r>
        <w:rPr>
          <w:vertAlign w:val="superscript"/>
          <w:lang w:val="en-US"/>
        </w:rPr>
        <w:t>1</w:t>
      </w:r>
      <w:r>
        <w:rPr>
          <w:lang w:val="en-US"/>
        </w:rPr>
        <w:t xml:space="preserve">Troitsk Institute for </w:t>
      </w:r>
      <w:r w:rsidRPr="001C2FBA">
        <w:rPr>
          <w:lang w:val="en-US"/>
        </w:rPr>
        <w:t>Innovation</w:t>
      </w:r>
      <w:r>
        <w:rPr>
          <w:lang w:val="en-US"/>
        </w:rPr>
        <w:t xml:space="preserve"> and Fusion Research, Troitsk, Moscow, Russia</w:t>
      </w:r>
      <w:bookmarkEnd w:id="0"/>
      <w:r>
        <w:rPr>
          <w:rFonts w:eastAsia="Calibri"/>
          <w:lang w:val="en-US" w:eastAsia="en-US"/>
        </w:rPr>
        <w:t>;</w:t>
      </w:r>
      <w:r>
        <w:rPr>
          <w:rFonts w:eastAsia="Calibri"/>
          <w:lang w:val="en-US" w:eastAsia="en-US"/>
        </w:rPr>
        <w:br/>
        <w:t xml:space="preserve">     </w:t>
      </w:r>
      <w:hyperlink r:id="rId8" w:history="1">
        <w:r w:rsidRPr="00306A76">
          <w:rPr>
            <w:rStyle w:val="a9"/>
            <w:rFonts w:eastAsia="Calibri"/>
            <w:lang w:val="en-US" w:eastAsia="en-US"/>
          </w:rPr>
          <w:t>alexvv@triniti.ru</w:t>
        </w:r>
      </w:hyperlink>
      <w:r>
        <w:rPr>
          <w:rFonts w:eastAsia="Calibri"/>
          <w:lang w:val="en-US" w:eastAsia="en-US"/>
        </w:rPr>
        <w:br/>
      </w:r>
      <w:bookmarkStart w:id="1" w:name="_Hlk466988356"/>
      <w:r>
        <w:rPr>
          <w:vertAlign w:val="superscript"/>
          <w:lang w:val="en-US"/>
        </w:rPr>
        <w:t>2</w:t>
      </w:r>
      <w:r>
        <w:rPr>
          <w:lang w:val="en-US"/>
        </w:rPr>
        <w:t>Keldysh Institute of Applied Mathematics, Russian Academy of Sciences, Moscow, Russia</w:t>
      </w:r>
      <w:bookmarkEnd w:id="1"/>
      <w:r>
        <w:rPr>
          <w:rFonts w:eastAsia="Calibri"/>
          <w:lang w:val="en-US" w:eastAsia="en-US"/>
        </w:rPr>
        <w:t xml:space="preserve"> </w:t>
      </w:r>
    </w:p>
    <w:p w:rsidR="005B6379" w:rsidRDefault="005B6379" w:rsidP="001C2FBA">
      <w:pPr>
        <w:pStyle w:val="Zv-bodyreport"/>
        <w:spacing w:line="216" w:lineRule="auto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The results of experimental and numerical studies of current implosion in vacuum at the Angara</w:t>
      </w:r>
      <w:r>
        <w:rPr>
          <w:rFonts w:eastAsia="Calibri"/>
          <w:lang w:val="en-US" w:eastAsia="en-US"/>
        </w:rPr>
        <w:noBreakHyphen/>
        <w:t>5</w:t>
      </w:r>
      <w:r>
        <w:rPr>
          <w:rFonts w:eastAsia="Calibri"/>
          <w:lang w:val="en-US" w:eastAsia="en-US"/>
        </w:rPr>
        <w:noBreakHyphen/>
        <w:t>1 installation of a nested conical array with a discharge current pulse of up to 4 MA with a rise time of the leading edge of 100 ns are presented (Fig. 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438"/>
        <w:gridCol w:w="3234"/>
        <w:gridCol w:w="3380"/>
      </w:tblGrid>
      <w:tr w:rsidR="005B6379" w:rsidTr="00822E5E">
        <w:trPr>
          <w:trHeight w:val="1794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379" w:rsidRDefault="009D475A" w:rsidP="00822E5E">
            <w:pPr>
              <w:ind w:left="-142" w:right="-95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noProof/>
                <w:sz w:val="22"/>
              </w:rPr>
              <w:drawing>
                <wp:inline distT="0" distB="0" distL="0" distR="0">
                  <wp:extent cx="1781175" cy="1285875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379" w:rsidRDefault="005B6379" w:rsidP="00822E5E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127244" cy="12276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244" cy="122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379" w:rsidTr="00822E5E">
        <w:trPr>
          <w:trHeight w:val="2429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379" w:rsidRDefault="005200B4" w:rsidP="00822E5E">
            <w:pPr>
              <w:jc w:val="center"/>
              <w:rPr>
                <w:rFonts w:eastAsia="Calibri"/>
                <w:sz w:val="22"/>
                <w:lang w:val="en-US" w:eastAsia="en-US"/>
              </w:rPr>
            </w:pPr>
            <w:r>
              <w:rPr>
                <w:rFonts w:eastAsia="Calibri"/>
                <w:noProof/>
                <w:sz w:val="22"/>
              </w:rPr>
              <w:drawing>
                <wp:inline distT="0" distB="0" distL="0" distR="0">
                  <wp:extent cx="4991100" cy="156210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379" w:rsidTr="00822E5E">
        <w:trPr>
          <w:trHeight w:val="265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B6379" w:rsidRDefault="00B55FA2" w:rsidP="00822E5E">
            <w:pPr>
              <w:ind w:left="-142" w:right="-108"/>
              <w:jc w:val="center"/>
              <w:rPr>
                <w:rFonts w:eastAsia="Calibri"/>
                <w:sz w:val="22"/>
                <w:lang w:val="en-US" w:eastAsia="en-US"/>
              </w:rPr>
            </w:pPr>
            <w:r>
              <w:rPr>
                <w:rFonts w:eastAsia="Calibri"/>
                <w:noProof/>
                <w:sz w:val="22"/>
              </w:rPr>
              <w:drawing>
                <wp:inline distT="0" distB="0" distL="0" distR="0">
                  <wp:extent cx="1638300" cy="167640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2" w:name="_MON_1636962460"/>
        <w:bookmarkEnd w:id="2"/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379" w:rsidRDefault="005B6379" w:rsidP="00822E5E">
            <w:pPr>
              <w:jc w:val="center"/>
              <w:rPr>
                <w:rFonts w:eastAsia="Calibri"/>
                <w:sz w:val="22"/>
                <w:lang w:val="en-US" w:eastAsia="en-US"/>
              </w:rPr>
            </w:pPr>
            <w:r w:rsidRPr="00677BE1">
              <w:rPr>
                <w:rFonts w:ascii="Calibri" w:eastAsia="Calibri" w:hAnsi="Calibri"/>
                <w:sz w:val="22"/>
                <w:lang w:eastAsia="en-US"/>
              </w:rPr>
              <w:object w:dxaOrig="2982" w:dyaOrig="2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140.25pt" o:ole="" fillcolor="window">
                  <v:imagedata r:id="rId13" o:title=""/>
                </v:shape>
                <o:OLEObject Type="Embed" ProgID="Word.Picture.8" ShapeID="_x0000_i1025" DrawAspect="Content" ObjectID="_1649073892" r:id="rId14"/>
              </w:object>
            </w:r>
          </w:p>
        </w:tc>
        <w:bookmarkStart w:id="3" w:name="_MON_1636962544"/>
        <w:bookmarkEnd w:id="3"/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</w:tcPr>
          <w:p w:rsidR="005B6379" w:rsidRDefault="005B6379" w:rsidP="00822E5E">
            <w:pPr>
              <w:ind w:left="-95" w:right="-143"/>
              <w:jc w:val="center"/>
              <w:rPr>
                <w:rFonts w:eastAsia="Calibri"/>
                <w:sz w:val="22"/>
                <w:lang w:val="en-US" w:eastAsia="en-US"/>
              </w:rPr>
            </w:pPr>
            <w:r w:rsidRPr="00677BE1">
              <w:rPr>
                <w:rFonts w:ascii="Calibri" w:eastAsia="Calibri" w:hAnsi="Calibri"/>
                <w:sz w:val="22"/>
                <w:lang w:eastAsia="en-US"/>
              </w:rPr>
              <w:object w:dxaOrig="3027" w:dyaOrig="2501">
                <v:shape id="_x0000_i1026" type="#_x0000_t75" style="width:163.5pt;height:135pt" o:ole="" fillcolor="window">
                  <v:imagedata r:id="rId15" o:title=""/>
                </v:shape>
                <o:OLEObject Type="Embed" ProgID="Word.Picture.8" ShapeID="_x0000_i1026" DrawAspect="Content" ObjectID="_1649073893" r:id="rId16"/>
              </w:object>
            </w:r>
          </w:p>
        </w:tc>
      </w:tr>
      <w:tr w:rsidR="005B6379" w:rsidRPr="001C2FBA" w:rsidTr="00822E5E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6379" w:rsidRDefault="005B6379" w:rsidP="001C2FBA">
            <w:pPr>
              <w:spacing w:line="216" w:lineRule="auto"/>
              <w:jc w:val="both"/>
              <w:rPr>
                <w:rFonts w:eastAsia="Calibri"/>
                <w:sz w:val="22"/>
                <w:lang w:val="en-US" w:eastAsia="en-US"/>
              </w:rPr>
            </w:pPr>
            <w:r>
              <w:rPr>
                <w:rFonts w:eastAsia="Calibri"/>
                <w:sz w:val="22"/>
                <w:lang w:val="en-US" w:eastAsia="en-US"/>
              </w:rPr>
              <w:t xml:space="preserve">Fig. 1. Cone array: external cascade - conical array of 4 kapron 25 </w:t>
            </w:r>
            <w:r>
              <w:rPr>
                <w:rFonts w:eastAsia="Calibri"/>
                <w:sz w:val="22"/>
                <w:lang w:eastAsia="en-US"/>
              </w:rPr>
              <w:t>μ</w:t>
            </w:r>
            <w:r>
              <w:rPr>
                <w:rFonts w:eastAsia="Calibri"/>
                <w:sz w:val="22"/>
                <w:lang w:val="en-US" w:eastAsia="en-US"/>
              </w:rPr>
              <w:t xml:space="preserve">m fibers, linear mass 22 </w:t>
            </w:r>
            <w:r>
              <w:rPr>
                <w:rFonts w:eastAsia="Calibri"/>
                <w:sz w:val="22"/>
                <w:lang w:eastAsia="en-US"/>
              </w:rPr>
              <w:t>μ</w:t>
            </w:r>
            <w:r>
              <w:rPr>
                <w:rFonts w:eastAsia="Calibri"/>
                <w:sz w:val="22"/>
                <w:lang w:val="en-US" w:eastAsia="en-US"/>
              </w:rPr>
              <w:t xml:space="preserve">g / cm, </w:t>
            </w:r>
            <w:r>
              <w:rPr>
                <w:rFonts w:eastAsia="Calibri"/>
                <w:i/>
                <w:sz w:val="22"/>
                <w:lang w:val="en-US" w:eastAsia="en-US"/>
              </w:rPr>
              <w:t>R</w:t>
            </w:r>
            <w:r>
              <w:rPr>
                <w:rFonts w:eastAsia="Calibri"/>
                <w:i/>
                <w:sz w:val="22"/>
                <w:vertAlign w:val="subscript"/>
                <w:lang w:val="en-US" w:eastAsia="en-US"/>
              </w:rPr>
              <w:t>out</w:t>
            </w:r>
            <w:r>
              <w:rPr>
                <w:rFonts w:eastAsia="Calibri"/>
                <w:sz w:val="22"/>
                <w:lang w:val="en-US" w:eastAsia="en-US"/>
              </w:rPr>
              <w:t xml:space="preserve">=10/5 [mm]; internal cascade – array of 40 W 6 </w:t>
            </w:r>
            <w:r>
              <w:rPr>
                <w:rFonts w:eastAsia="Calibri"/>
                <w:sz w:val="22"/>
                <w:lang w:eastAsia="en-US"/>
              </w:rPr>
              <w:t>μ</w:t>
            </w:r>
            <w:r>
              <w:rPr>
                <w:rFonts w:eastAsia="Calibri"/>
                <w:sz w:val="22"/>
                <w:lang w:val="en-US" w:eastAsia="en-US"/>
              </w:rPr>
              <w:t xml:space="preserve">m wires, linear mass 220 </w:t>
            </w:r>
            <w:r>
              <w:rPr>
                <w:rFonts w:eastAsia="Calibri"/>
                <w:sz w:val="22"/>
                <w:lang w:eastAsia="en-US"/>
              </w:rPr>
              <w:t>μ</w:t>
            </w:r>
            <w:r>
              <w:rPr>
                <w:rFonts w:eastAsia="Calibri"/>
                <w:sz w:val="22"/>
                <w:lang w:val="en-US" w:eastAsia="en-US"/>
              </w:rPr>
              <w:t xml:space="preserve">g / cm, </w:t>
            </w:r>
            <w:r>
              <w:rPr>
                <w:rFonts w:eastAsia="Calibri"/>
                <w:i/>
                <w:sz w:val="22"/>
                <w:lang w:val="en-US" w:eastAsia="en-US"/>
              </w:rPr>
              <w:t>R</w:t>
            </w:r>
            <w:r>
              <w:rPr>
                <w:rFonts w:eastAsia="Calibri"/>
                <w:i/>
                <w:sz w:val="22"/>
                <w:vertAlign w:val="subscript"/>
                <w:lang w:val="en-US" w:eastAsia="en-US"/>
              </w:rPr>
              <w:t>in</w:t>
            </w:r>
            <w:r>
              <w:rPr>
                <w:rFonts w:eastAsia="Calibri"/>
                <w:sz w:val="22"/>
                <w:lang w:val="en-US" w:eastAsia="en-US"/>
              </w:rPr>
              <w:t xml:space="preserve">=3 mm. </w:t>
            </w:r>
            <w:r>
              <w:rPr>
                <w:rFonts w:eastAsia="Calibri"/>
                <w:i/>
                <w:sz w:val="22"/>
                <w:lang w:val="en-US" w:eastAsia="en-US"/>
              </w:rPr>
              <w:t>H</w:t>
            </w:r>
            <w:r>
              <w:rPr>
                <w:rFonts w:eastAsia="Calibri"/>
                <w:sz w:val="22"/>
                <w:lang w:val="en-US" w:eastAsia="en-US"/>
              </w:rPr>
              <w:t>=16 mm. a) - scheme of the experiment; b) - time dependence MRI power pulse in the spectral range (</w:t>
            </w:r>
            <w:r>
              <w:rPr>
                <w:rFonts w:eastAsia="Calibri"/>
                <w:i/>
                <w:sz w:val="22"/>
                <w:lang w:val="en-US" w:eastAsia="en-US"/>
              </w:rPr>
              <w:t>hν</w:t>
            </w:r>
            <w:r>
              <w:rPr>
                <w:rFonts w:eastAsia="Calibri"/>
                <w:sz w:val="22"/>
                <w:lang w:val="en-US" w:eastAsia="en-US"/>
              </w:rPr>
              <w:t xml:space="preserve">&gt; 100 eV); c) frame images (positive) of the plasma of the nested array obtained by shadow laser probing at various points in time. The frame times </w:t>
            </w:r>
            <w:r>
              <w:rPr>
                <w:rFonts w:eastAsia="Calibri"/>
                <w:i/>
                <w:sz w:val="22"/>
                <w:lang w:val="en-US" w:eastAsia="en-US"/>
              </w:rPr>
              <w:t>t</w:t>
            </w:r>
            <w:r>
              <w:rPr>
                <w:rFonts w:eastAsia="Calibri"/>
                <w:sz w:val="22"/>
                <w:vertAlign w:val="superscript"/>
                <w:lang w:val="en-US" w:eastAsia="en-US"/>
              </w:rPr>
              <w:t>*</w:t>
            </w:r>
            <w:r>
              <w:rPr>
                <w:rFonts w:eastAsia="Calibri"/>
                <w:sz w:val="22"/>
                <w:vertAlign w:val="subscript"/>
                <w:lang w:val="en-US" w:eastAsia="en-US"/>
              </w:rPr>
              <w:t>1</w:t>
            </w:r>
            <w:r>
              <w:rPr>
                <w:rFonts w:eastAsia="Calibri"/>
                <w:sz w:val="22"/>
                <w:lang w:val="en-US" w:eastAsia="en-US"/>
              </w:rPr>
              <w:t xml:space="preserve"> - </w:t>
            </w:r>
            <w:r>
              <w:rPr>
                <w:rFonts w:eastAsia="Calibri"/>
                <w:i/>
                <w:sz w:val="22"/>
                <w:lang w:val="en-US" w:eastAsia="en-US"/>
              </w:rPr>
              <w:t>t</w:t>
            </w:r>
            <w:r>
              <w:rPr>
                <w:rFonts w:eastAsia="Calibri"/>
                <w:sz w:val="22"/>
                <w:vertAlign w:val="superscript"/>
                <w:lang w:val="en-US" w:eastAsia="en-US"/>
              </w:rPr>
              <w:t>*</w:t>
            </w:r>
            <w:r>
              <w:rPr>
                <w:rFonts w:eastAsia="Calibri"/>
                <w:sz w:val="22"/>
                <w:vertAlign w:val="subscript"/>
                <w:lang w:val="en-US" w:eastAsia="en-US"/>
              </w:rPr>
              <w:t>3</w:t>
            </w:r>
            <w:r>
              <w:rPr>
                <w:rFonts w:eastAsia="Calibri"/>
                <w:sz w:val="22"/>
                <w:lang w:val="en-US" w:eastAsia="en-US"/>
              </w:rPr>
              <w:t xml:space="preserve"> are indicated by circles (• LAS). The anode is above, the cathode is below; d) - the calculated density distribution at time t = 70 ns, shock waves between cascades; e) - time dependence of the rate of plasma formation (</w:t>
            </w:r>
            <w:r>
              <w:rPr>
                <w:rFonts w:eastAsia="Calibri"/>
                <w:i/>
                <w:sz w:val="22"/>
                <w:lang w:val="en-US" w:eastAsia="en-US"/>
              </w:rPr>
              <w:t>1</w:t>
            </w:r>
            <w:r>
              <w:rPr>
                <w:rFonts w:eastAsia="Calibri"/>
                <w:sz w:val="22"/>
                <w:lang w:val="en-US" w:eastAsia="en-US"/>
              </w:rPr>
              <w:t xml:space="preserve"> - internal cascade, </w:t>
            </w:r>
            <w:r>
              <w:rPr>
                <w:rFonts w:eastAsia="Calibri"/>
                <w:i/>
                <w:sz w:val="22"/>
                <w:lang w:val="en-US" w:eastAsia="en-US"/>
              </w:rPr>
              <w:t>3</w:t>
            </w:r>
            <w:r>
              <w:rPr>
                <w:rFonts w:eastAsia="Calibri"/>
                <w:sz w:val="22"/>
                <w:lang w:val="en-US" w:eastAsia="en-US"/>
              </w:rPr>
              <w:t xml:space="preserve"> - external cascade) and vaporized mass (</w:t>
            </w:r>
            <w:r>
              <w:rPr>
                <w:rFonts w:eastAsia="Calibri"/>
                <w:i/>
                <w:sz w:val="22"/>
                <w:lang w:val="en-US" w:eastAsia="en-US"/>
              </w:rPr>
              <w:t>2</w:t>
            </w:r>
            <w:r>
              <w:rPr>
                <w:rFonts w:eastAsia="Calibri"/>
                <w:sz w:val="22"/>
                <w:lang w:val="en-US" w:eastAsia="en-US"/>
              </w:rPr>
              <w:t xml:space="preserve"> - internal cascade, </w:t>
            </w:r>
            <w:r>
              <w:rPr>
                <w:rFonts w:eastAsia="Calibri"/>
                <w:i/>
                <w:sz w:val="22"/>
                <w:lang w:val="en-US" w:eastAsia="en-US"/>
              </w:rPr>
              <w:t>4</w:t>
            </w:r>
            <w:r>
              <w:rPr>
                <w:rFonts w:eastAsia="Calibri"/>
                <w:sz w:val="22"/>
                <w:lang w:val="en-US" w:eastAsia="en-US"/>
              </w:rPr>
              <w:t xml:space="preserve"> - external cascade); f) - distribution along the array radius: </w:t>
            </w:r>
            <w:r>
              <w:rPr>
                <w:rFonts w:eastAsia="Calibri"/>
                <w:i/>
                <w:sz w:val="22"/>
                <w:lang w:val="en-US" w:eastAsia="en-US"/>
              </w:rPr>
              <w:t>1</w:t>
            </w:r>
            <w:r>
              <w:rPr>
                <w:rFonts w:eastAsia="Calibri"/>
                <w:sz w:val="22"/>
                <w:lang w:val="en-US" w:eastAsia="en-US"/>
              </w:rPr>
              <w:t xml:space="preserve"> - magnetic induction </w:t>
            </w:r>
            <w:r>
              <w:rPr>
                <w:rFonts w:eastAsia="Calibri"/>
                <w:i/>
                <w:sz w:val="22"/>
                <w:lang w:val="en-US" w:eastAsia="en-US"/>
              </w:rPr>
              <w:t>B</w:t>
            </w:r>
            <w:r>
              <w:rPr>
                <w:rFonts w:eastAsia="Calibri"/>
                <w:sz w:val="22"/>
                <w:vertAlign w:val="subscript"/>
                <w:lang w:val="en-US" w:eastAsia="en-US"/>
              </w:rPr>
              <w:t>φ</w:t>
            </w:r>
            <w:r>
              <w:rPr>
                <w:rFonts w:eastAsia="Calibri"/>
                <w:sz w:val="22"/>
                <w:lang w:val="en-US" w:eastAsia="en-US"/>
              </w:rPr>
              <w:t xml:space="preserve">, </w:t>
            </w:r>
            <w:r>
              <w:rPr>
                <w:rFonts w:eastAsia="Calibri"/>
                <w:i/>
                <w:sz w:val="22"/>
                <w:lang w:val="en-US" w:eastAsia="en-US"/>
              </w:rPr>
              <w:t>2</w:t>
            </w:r>
            <w:r>
              <w:rPr>
                <w:rFonts w:eastAsia="Calibri"/>
                <w:sz w:val="22"/>
                <w:lang w:val="en-US" w:eastAsia="en-US"/>
              </w:rPr>
              <w:t xml:space="preserve"> - magnetic Mach number M</w:t>
            </w:r>
            <w:r>
              <w:rPr>
                <w:rFonts w:eastAsia="Calibri"/>
                <w:sz w:val="22"/>
                <w:vertAlign w:val="subscript"/>
                <w:lang w:val="en-US" w:eastAsia="en-US"/>
              </w:rPr>
              <w:t>A</w:t>
            </w:r>
            <w:r>
              <w:rPr>
                <w:rFonts w:eastAsia="Calibri"/>
                <w:sz w:val="22"/>
                <w:lang w:val="en-US" w:eastAsia="en-US"/>
              </w:rPr>
              <w:t xml:space="preserve"> at time </w:t>
            </w:r>
            <w:r>
              <w:rPr>
                <w:rFonts w:eastAsia="Calibri"/>
                <w:i/>
                <w:sz w:val="22"/>
                <w:lang w:val="en-US" w:eastAsia="en-US"/>
              </w:rPr>
              <w:t>t</w:t>
            </w:r>
            <w:r>
              <w:rPr>
                <w:rFonts w:eastAsia="Calibri"/>
                <w:sz w:val="22"/>
                <w:lang w:val="en-US" w:eastAsia="en-US"/>
              </w:rPr>
              <w:t xml:space="preserve"> = 70 ns (corresponds to a stable position of the shock wave), in the middle of the array height </w:t>
            </w:r>
            <w:r>
              <w:rPr>
                <w:rFonts w:eastAsia="Calibri"/>
                <w:i/>
                <w:sz w:val="22"/>
                <w:lang w:val="en-US" w:eastAsia="en-US"/>
              </w:rPr>
              <w:t>z</w:t>
            </w:r>
            <w:r>
              <w:rPr>
                <w:rFonts w:eastAsia="Calibri"/>
                <w:sz w:val="22"/>
                <w:lang w:val="en-US" w:eastAsia="en-US"/>
              </w:rPr>
              <w:t xml:space="preserve"> = 8 mm.</w:t>
            </w:r>
          </w:p>
        </w:tc>
      </w:tr>
    </w:tbl>
    <w:p w:rsidR="005B6379" w:rsidRDefault="005B6379" w:rsidP="001C2FBA">
      <w:pPr>
        <w:pStyle w:val="Zv-bodyreport"/>
        <w:widowControl w:val="0"/>
        <w:spacing w:before="120" w:line="216" w:lineRule="auto"/>
        <w:rPr>
          <w:lang w:val="en-US"/>
        </w:rPr>
      </w:pPr>
      <w:r>
        <w:rPr>
          <w:lang w:val="en-US"/>
        </w:rPr>
        <w:t>The work was financially supported by the Russian Foundation for Basic Research (project N. 18</w:t>
      </w:r>
      <w:r>
        <w:rPr>
          <w:lang w:val="en-US"/>
        </w:rPr>
        <w:noBreakHyphen/>
        <w:t>29</w:t>
      </w:r>
      <w:r>
        <w:rPr>
          <w:lang w:val="en-US"/>
        </w:rPr>
        <w:noBreakHyphen/>
        <w:t>21005, N.</w:t>
      </w:r>
      <w:r w:rsidRPr="005B6379">
        <w:rPr>
          <w:snapToGrid w:val="0"/>
          <w:color w:val="000000"/>
          <w:lang w:val="en-US"/>
        </w:rPr>
        <w:t>20-02-00007-a</w:t>
      </w:r>
      <w:r>
        <w:rPr>
          <w:lang w:val="en-US"/>
        </w:rPr>
        <w:t>).</w:t>
      </w:r>
    </w:p>
    <w:sectPr w:rsidR="005B6379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544" w:rsidRDefault="00C80544">
      <w:r>
        <w:separator/>
      </w:r>
    </w:p>
  </w:endnote>
  <w:endnote w:type="continuationSeparator" w:id="0">
    <w:p w:rsidR="00C80544" w:rsidRDefault="00C80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7B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7B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FB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544" w:rsidRDefault="00C80544">
      <w:r>
        <w:separator/>
      </w:r>
    </w:p>
  </w:footnote>
  <w:footnote w:type="continuationSeparator" w:id="0">
    <w:p w:rsidR="00C80544" w:rsidRDefault="00C80544">
      <w:r>
        <w:continuationSeparator/>
      </w:r>
    </w:p>
  </w:footnote>
  <w:footnote w:id="1">
    <w:p w:rsidR="001C2FBA" w:rsidRPr="001C2FBA" w:rsidRDefault="001C2FBA">
      <w:pPr>
        <w:pStyle w:val="aa"/>
        <w:rPr>
          <w:sz w:val="22"/>
          <w:szCs w:val="22"/>
          <w:lang w:val="en-US"/>
        </w:rPr>
      </w:pPr>
      <w:r w:rsidRPr="001C2FBA">
        <w:rPr>
          <w:rStyle w:val="ac"/>
          <w:sz w:val="22"/>
          <w:szCs w:val="22"/>
          <w:lang w:val="en-US"/>
        </w:rPr>
        <w:t>*)</w:t>
      </w:r>
      <w:r w:rsidRPr="001C2FBA">
        <w:rPr>
          <w:sz w:val="22"/>
          <w:szCs w:val="22"/>
          <w:lang w:val="en-US"/>
        </w:rPr>
        <w:t xml:space="preserve">  </w:t>
      </w:r>
      <w:hyperlink r:id="rId1" w:history="1">
        <w:r w:rsidRPr="001C2FBA">
          <w:rPr>
            <w:rStyle w:val="a9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677BE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2DB"/>
    <w:rsid w:val="00043701"/>
    <w:rsid w:val="000C657D"/>
    <w:rsid w:val="000C7078"/>
    <w:rsid w:val="000D76E9"/>
    <w:rsid w:val="000E495B"/>
    <w:rsid w:val="001223B5"/>
    <w:rsid w:val="001C0CCB"/>
    <w:rsid w:val="001C2FBA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200B4"/>
    <w:rsid w:val="00567C6F"/>
    <w:rsid w:val="00573BAD"/>
    <w:rsid w:val="0058676C"/>
    <w:rsid w:val="005B6379"/>
    <w:rsid w:val="005F764D"/>
    <w:rsid w:val="00654A7B"/>
    <w:rsid w:val="00677BE1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62CB4"/>
    <w:rsid w:val="009D475A"/>
    <w:rsid w:val="00AE6185"/>
    <w:rsid w:val="00B55FA2"/>
    <w:rsid w:val="00B622ED"/>
    <w:rsid w:val="00B902DB"/>
    <w:rsid w:val="00B9584E"/>
    <w:rsid w:val="00C103CD"/>
    <w:rsid w:val="00C232A0"/>
    <w:rsid w:val="00C5751F"/>
    <w:rsid w:val="00C80544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37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5B63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B637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B6379"/>
    <w:rPr>
      <w:color w:val="0000FF" w:themeColor="hyperlink"/>
      <w:u w:val="single"/>
    </w:rPr>
  </w:style>
  <w:style w:type="paragraph" w:styleId="aa">
    <w:name w:val="footnote text"/>
    <w:basedOn w:val="a"/>
    <w:link w:val="ab"/>
    <w:rsid w:val="001C2FB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C2FBA"/>
  </w:style>
  <w:style w:type="character" w:styleId="ac">
    <w:name w:val="footnote reference"/>
    <w:basedOn w:val="a0"/>
    <w:rsid w:val="001C2F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vv@triniti.ru" TargetMode="Externa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ru/CT-Alexandr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A0805-7D67-4986-BD0F-64636A60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15</TotalTime>
  <Pages>1</Pages>
  <Words>318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FEATURES OF THE INTERACTION OF PLASMA FLOWS AND THE AXIAL MAGNETIC FIELD DURING IMPLOSION OF NESTED CONICAL ARRAYS</dc:title>
  <dc:creator>sato</dc:creator>
  <cp:lastModifiedBy>Сатунин</cp:lastModifiedBy>
  <cp:revision>7</cp:revision>
  <cp:lastPrinted>1601-01-01T00:00:00Z</cp:lastPrinted>
  <dcterms:created xsi:type="dcterms:W3CDTF">2020-02-18T13:16:00Z</dcterms:created>
  <dcterms:modified xsi:type="dcterms:W3CDTF">2020-04-22T12:18:00Z</dcterms:modified>
</cp:coreProperties>
</file>