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C3C" w:rsidRPr="003F7AA0" w:rsidRDefault="009B4C3C" w:rsidP="009B4C3C">
      <w:pPr>
        <w:pStyle w:val="Zv-Titlereport"/>
      </w:pPr>
      <w:r w:rsidRPr="001F2E51">
        <w:t>Развитие интеграции Вертикальной Нейтронной Камеры</w:t>
      </w:r>
      <w:r w:rsidR="003F7AA0" w:rsidRPr="003F7AA0">
        <w:t xml:space="preserve"> </w:t>
      </w:r>
      <w:r w:rsidR="003F7AA0" w:rsidRPr="003F7AA0">
        <w:rPr>
          <w:rStyle w:val="a9"/>
        </w:rPr>
        <w:footnoteReference w:customMarkFollows="1" w:id="1"/>
        <w:t>*)</w:t>
      </w:r>
    </w:p>
    <w:p w:rsidR="009B4C3C" w:rsidRPr="003F7AA0" w:rsidRDefault="009B4C3C" w:rsidP="009B4C3C">
      <w:pPr>
        <w:pStyle w:val="Zv-Author"/>
        <w:rPr>
          <w:i/>
          <w:lang w:val="en-US"/>
        </w:rPr>
      </w:pPr>
      <w:r w:rsidRPr="003F7AA0">
        <w:rPr>
          <w:vertAlign w:val="superscript"/>
          <w:lang w:val="en-US"/>
        </w:rPr>
        <w:t>1</w:t>
      </w:r>
      <w:r w:rsidRPr="00501159">
        <w:t>Таскаев</w:t>
      </w:r>
      <w:r w:rsidRPr="003F7AA0">
        <w:rPr>
          <w:lang w:val="en-US"/>
        </w:rPr>
        <w:t xml:space="preserve"> </w:t>
      </w:r>
      <w:r w:rsidRPr="00501159">
        <w:t>А</w:t>
      </w:r>
      <w:r w:rsidRPr="003F7AA0">
        <w:rPr>
          <w:lang w:val="en-US"/>
        </w:rPr>
        <w:t>.</w:t>
      </w:r>
      <w:r w:rsidRPr="00501159">
        <w:t>С</w:t>
      </w:r>
      <w:r w:rsidRPr="003F7AA0">
        <w:rPr>
          <w:lang w:val="en-US"/>
        </w:rPr>
        <w:t xml:space="preserve">., </w:t>
      </w:r>
      <w:r w:rsidRPr="003F7AA0">
        <w:rPr>
          <w:vertAlign w:val="superscript"/>
          <w:lang w:val="en-US"/>
        </w:rPr>
        <w:t>1</w:t>
      </w:r>
      <w:r w:rsidRPr="00501159">
        <w:t>Иванцивский</w:t>
      </w:r>
      <w:r w:rsidRPr="003F7AA0">
        <w:rPr>
          <w:lang w:val="en-US"/>
        </w:rPr>
        <w:t xml:space="preserve"> </w:t>
      </w:r>
      <w:r w:rsidRPr="00501159">
        <w:t>М</w:t>
      </w:r>
      <w:r w:rsidRPr="003F7AA0">
        <w:rPr>
          <w:lang w:val="en-US"/>
        </w:rPr>
        <w:t>.</w:t>
      </w:r>
      <w:r w:rsidRPr="00501159">
        <w:t>В</w:t>
      </w:r>
      <w:r w:rsidRPr="003F7AA0">
        <w:rPr>
          <w:lang w:val="en-US"/>
        </w:rPr>
        <w:t xml:space="preserve">., </w:t>
      </w:r>
      <w:r w:rsidRPr="003F7AA0">
        <w:rPr>
          <w:vertAlign w:val="superscript"/>
          <w:lang w:val="en-US"/>
        </w:rPr>
        <w:t>1,3</w:t>
      </w:r>
      <w:r w:rsidRPr="00501159">
        <w:t>Бурдаков</w:t>
      </w:r>
      <w:r>
        <w:rPr>
          <w:lang w:val="en-US"/>
        </w:rPr>
        <w:t xml:space="preserve"> </w:t>
      </w:r>
      <w:r w:rsidRPr="00501159">
        <w:t>А</w:t>
      </w:r>
      <w:r w:rsidRPr="003F7AA0">
        <w:rPr>
          <w:lang w:val="en-US"/>
        </w:rPr>
        <w:t>.</w:t>
      </w:r>
      <w:r w:rsidRPr="00501159">
        <w:t>В</w:t>
      </w:r>
      <w:r w:rsidRPr="003F7AA0">
        <w:rPr>
          <w:lang w:val="en-US"/>
        </w:rPr>
        <w:t xml:space="preserve">., </w:t>
      </w:r>
      <w:r w:rsidRPr="003F7AA0">
        <w:rPr>
          <w:vertAlign w:val="superscript"/>
          <w:lang w:val="en-US"/>
        </w:rPr>
        <w:t>1</w:t>
      </w:r>
      <w:r w:rsidRPr="00501159">
        <w:t>Горбовский</w:t>
      </w:r>
      <w:r w:rsidRPr="003F7AA0">
        <w:rPr>
          <w:lang w:val="en-US"/>
        </w:rPr>
        <w:t xml:space="preserve"> </w:t>
      </w:r>
      <w:r w:rsidRPr="00501159">
        <w:t>А</w:t>
      </w:r>
      <w:r w:rsidRPr="003F7AA0">
        <w:rPr>
          <w:lang w:val="en-US"/>
        </w:rPr>
        <w:t>.</w:t>
      </w:r>
      <w:r w:rsidRPr="00501159">
        <w:t>И</w:t>
      </w:r>
      <w:r w:rsidRPr="003F7AA0">
        <w:rPr>
          <w:lang w:val="en-US"/>
        </w:rPr>
        <w:t xml:space="preserve">., </w:t>
      </w:r>
      <w:r w:rsidRPr="003F7AA0">
        <w:rPr>
          <w:vertAlign w:val="superscript"/>
          <w:lang w:val="en-US"/>
        </w:rPr>
        <w:t>1</w:t>
      </w:r>
      <w:r w:rsidRPr="00501159">
        <w:t>Зайцев</w:t>
      </w:r>
      <w:r w:rsidRPr="003F7AA0">
        <w:rPr>
          <w:lang w:val="en-US"/>
        </w:rPr>
        <w:t xml:space="preserve"> </w:t>
      </w:r>
      <w:r w:rsidRPr="00501159">
        <w:t>Е</w:t>
      </w:r>
      <w:r w:rsidRPr="003F7AA0">
        <w:rPr>
          <w:lang w:val="en-US"/>
        </w:rPr>
        <w:t>.</w:t>
      </w:r>
      <w:r w:rsidRPr="00501159">
        <w:t>К</w:t>
      </w:r>
      <w:r w:rsidRPr="003F7AA0">
        <w:rPr>
          <w:lang w:val="en-US"/>
        </w:rPr>
        <w:t xml:space="preserve">., </w:t>
      </w:r>
      <w:r w:rsidRPr="003F7AA0">
        <w:rPr>
          <w:vertAlign w:val="superscript"/>
          <w:lang w:val="en-US"/>
        </w:rPr>
        <w:t>2</w:t>
      </w:r>
      <w:r w:rsidRPr="00501159">
        <w:t>Звонков</w:t>
      </w:r>
      <w:r w:rsidRPr="003F7AA0">
        <w:rPr>
          <w:lang w:val="en-US"/>
        </w:rPr>
        <w:t xml:space="preserve"> </w:t>
      </w:r>
      <w:r w:rsidRPr="00501159">
        <w:t>А</w:t>
      </w:r>
      <w:r w:rsidRPr="003F7AA0">
        <w:rPr>
          <w:lang w:val="en-US"/>
        </w:rPr>
        <w:t>.</w:t>
      </w:r>
      <w:r w:rsidRPr="00501159">
        <w:t>В</w:t>
      </w:r>
      <w:r w:rsidRPr="003F7AA0">
        <w:rPr>
          <w:lang w:val="en-US"/>
        </w:rPr>
        <w:t xml:space="preserve">., </w:t>
      </w:r>
      <w:r w:rsidRPr="003F7AA0">
        <w:rPr>
          <w:vertAlign w:val="superscript"/>
          <w:lang w:val="en-US"/>
        </w:rPr>
        <w:t>1</w:t>
      </w:r>
      <w:r w:rsidRPr="00501159">
        <w:t>Селезнев</w:t>
      </w:r>
      <w:r w:rsidRPr="003F7AA0">
        <w:rPr>
          <w:lang w:val="en-US"/>
        </w:rPr>
        <w:t xml:space="preserve"> </w:t>
      </w:r>
      <w:r w:rsidRPr="00501159">
        <w:t>П</w:t>
      </w:r>
      <w:r w:rsidRPr="003F7AA0">
        <w:rPr>
          <w:lang w:val="en-US"/>
        </w:rPr>
        <w:t>.</w:t>
      </w:r>
      <w:r w:rsidRPr="00501159">
        <w:t>А</w:t>
      </w:r>
      <w:r w:rsidRPr="003F7AA0">
        <w:rPr>
          <w:lang w:val="en-US"/>
        </w:rPr>
        <w:t xml:space="preserve">., </w:t>
      </w:r>
      <w:r w:rsidRPr="003F7AA0">
        <w:rPr>
          <w:vertAlign w:val="superscript"/>
          <w:lang w:val="en-US"/>
        </w:rPr>
        <w:t>1,5</w:t>
      </w:r>
      <w:r w:rsidRPr="00501159">
        <w:t>Шошин</w:t>
      </w:r>
      <w:r>
        <w:rPr>
          <w:lang w:val="en-US"/>
        </w:rPr>
        <w:t xml:space="preserve"> </w:t>
      </w:r>
      <w:r>
        <w:t>А</w:t>
      </w:r>
      <w:r w:rsidRPr="003F7AA0">
        <w:rPr>
          <w:lang w:val="en-US"/>
        </w:rPr>
        <w:t>.</w:t>
      </w:r>
      <w:r>
        <w:t>А</w:t>
      </w:r>
      <w:r w:rsidRPr="003F7AA0">
        <w:rPr>
          <w:lang w:val="en-US"/>
        </w:rPr>
        <w:t xml:space="preserve">., </w:t>
      </w:r>
      <w:r w:rsidRPr="003F7AA0">
        <w:rPr>
          <w:vertAlign w:val="superscript"/>
          <w:lang w:val="en-US"/>
        </w:rPr>
        <w:t>1</w:t>
      </w:r>
      <w:r w:rsidRPr="00501159">
        <w:t>Хомяков</w:t>
      </w:r>
      <w:r w:rsidRPr="003F7AA0">
        <w:rPr>
          <w:lang w:val="en-US"/>
        </w:rPr>
        <w:t xml:space="preserve"> </w:t>
      </w:r>
      <w:r w:rsidRPr="00501159">
        <w:t>Е</w:t>
      </w:r>
      <w:r w:rsidRPr="003F7AA0">
        <w:rPr>
          <w:lang w:val="en-US"/>
        </w:rPr>
        <w:t>.</w:t>
      </w:r>
      <w:r w:rsidRPr="00501159">
        <w:t>С</w:t>
      </w:r>
      <w:r w:rsidRPr="003F7AA0">
        <w:rPr>
          <w:lang w:val="en-US"/>
        </w:rPr>
        <w:t xml:space="preserve">., </w:t>
      </w:r>
      <w:r w:rsidRPr="003F7AA0">
        <w:rPr>
          <w:vertAlign w:val="superscript"/>
          <w:lang w:val="en-US"/>
        </w:rPr>
        <w:t>1</w:t>
      </w:r>
      <w:r w:rsidRPr="00501159">
        <w:t>Землянский</w:t>
      </w:r>
      <w:r w:rsidRPr="003F7AA0">
        <w:rPr>
          <w:lang w:val="en-US"/>
        </w:rPr>
        <w:t xml:space="preserve"> </w:t>
      </w:r>
      <w:r w:rsidRPr="00501159">
        <w:t>Ю</w:t>
      </w:r>
      <w:r w:rsidRPr="003F7AA0">
        <w:rPr>
          <w:lang w:val="en-US"/>
        </w:rPr>
        <w:t>.</w:t>
      </w:r>
      <w:r w:rsidRPr="00501159">
        <w:t>Н</w:t>
      </w:r>
      <w:r w:rsidRPr="003F7AA0">
        <w:rPr>
          <w:lang w:val="en-US"/>
        </w:rPr>
        <w:t xml:space="preserve">., </w:t>
      </w:r>
      <w:r w:rsidRPr="003F7AA0">
        <w:rPr>
          <w:vertAlign w:val="superscript"/>
          <w:lang w:val="en-US"/>
        </w:rPr>
        <w:t>2</w:t>
      </w:r>
      <w:r w:rsidRPr="00501159">
        <w:t>Немцев</w:t>
      </w:r>
      <w:r w:rsidRPr="003F7AA0">
        <w:rPr>
          <w:lang w:val="en-US"/>
        </w:rPr>
        <w:t xml:space="preserve"> </w:t>
      </w:r>
      <w:r w:rsidRPr="00501159">
        <w:t>Г</w:t>
      </w:r>
      <w:r w:rsidRPr="003F7AA0">
        <w:rPr>
          <w:lang w:val="en-US"/>
        </w:rPr>
        <w:t>.</w:t>
      </w:r>
      <w:r w:rsidRPr="00501159">
        <w:t>Е</w:t>
      </w:r>
      <w:r w:rsidRPr="003F7AA0">
        <w:rPr>
          <w:lang w:val="en-US"/>
        </w:rPr>
        <w:t xml:space="preserve">., </w:t>
      </w:r>
      <w:r w:rsidRPr="003F7AA0">
        <w:rPr>
          <w:vertAlign w:val="superscript"/>
          <w:lang w:val="en-US"/>
        </w:rPr>
        <w:t>2</w:t>
      </w:r>
      <w:r w:rsidRPr="00501159">
        <w:t>Хафизов</w:t>
      </w:r>
      <w:r w:rsidRPr="003F7AA0">
        <w:rPr>
          <w:lang w:val="en-US"/>
        </w:rPr>
        <w:t xml:space="preserve"> </w:t>
      </w:r>
      <w:r w:rsidRPr="00501159">
        <w:t>Р</w:t>
      </w:r>
      <w:r w:rsidRPr="003F7AA0">
        <w:rPr>
          <w:lang w:val="en-US"/>
        </w:rPr>
        <w:t>.</w:t>
      </w:r>
      <w:r w:rsidRPr="00501159">
        <w:t>Р</w:t>
      </w:r>
      <w:r w:rsidRPr="003F7AA0">
        <w:rPr>
          <w:lang w:val="en-US"/>
        </w:rPr>
        <w:t xml:space="preserve">., </w:t>
      </w:r>
      <w:r w:rsidRPr="003F7AA0">
        <w:rPr>
          <w:vertAlign w:val="superscript"/>
          <w:lang w:val="en-US"/>
        </w:rPr>
        <w:t>4</w:t>
      </w:r>
      <w:r w:rsidRPr="00501159">
        <w:t>Смирнов</w:t>
      </w:r>
      <w:r w:rsidRPr="003F7AA0">
        <w:rPr>
          <w:lang w:val="en-US"/>
        </w:rPr>
        <w:t xml:space="preserve"> </w:t>
      </w:r>
      <w:r w:rsidRPr="00501159">
        <w:t>А</w:t>
      </w:r>
      <w:r w:rsidRPr="003F7AA0">
        <w:rPr>
          <w:lang w:val="en-US"/>
        </w:rPr>
        <w:t>.</w:t>
      </w:r>
      <w:r w:rsidRPr="00501159">
        <w:t>Б</w:t>
      </w:r>
      <w:r w:rsidRPr="003F7AA0">
        <w:rPr>
          <w:lang w:val="en-US"/>
        </w:rPr>
        <w:t xml:space="preserve">., </w:t>
      </w:r>
      <w:r w:rsidRPr="003F7AA0">
        <w:rPr>
          <w:vertAlign w:val="superscript"/>
          <w:lang w:val="en-US"/>
        </w:rPr>
        <w:t>4</w:t>
      </w:r>
      <w:r w:rsidRPr="00501159">
        <w:t>Пожилов</w:t>
      </w:r>
      <w:r w:rsidRPr="003F7AA0">
        <w:rPr>
          <w:lang w:val="en-US"/>
        </w:rPr>
        <w:t xml:space="preserve"> </w:t>
      </w:r>
      <w:r w:rsidRPr="00501159">
        <w:t>А</w:t>
      </w:r>
      <w:r w:rsidRPr="003F7AA0">
        <w:rPr>
          <w:lang w:val="en-US"/>
        </w:rPr>
        <w:t>.</w:t>
      </w:r>
      <w:r w:rsidRPr="00501159">
        <w:t>А</w:t>
      </w:r>
      <w:r w:rsidRPr="003F7AA0">
        <w:rPr>
          <w:lang w:val="en-US"/>
        </w:rPr>
        <w:t xml:space="preserve">., </w:t>
      </w:r>
      <w:r w:rsidRPr="003F7AA0">
        <w:rPr>
          <w:vertAlign w:val="superscript"/>
          <w:lang w:val="en-US"/>
        </w:rPr>
        <w:t>4</w:t>
      </w:r>
      <w:r w:rsidRPr="00501159">
        <w:t>Кириенко</w:t>
      </w:r>
      <w:r w:rsidRPr="003F7AA0">
        <w:rPr>
          <w:lang w:val="en-US"/>
        </w:rPr>
        <w:t xml:space="preserve"> </w:t>
      </w:r>
      <w:r w:rsidRPr="00501159">
        <w:t>И</w:t>
      </w:r>
      <w:r w:rsidRPr="003F7AA0">
        <w:rPr>
          <w:lang w:val="en-US"/>
        </w:rPr>
        <w:t>.</w:t>
      </w:r>
      <w:r w:rsidRPr="00501159">
        <w:t>Д</w:t>
      </w:r>
      <w:r w:rsidRPr="003F7AA0">
        <w:rPr>
          <w:lang w:val="en-US"/>
        </w:rPr>
        <w:t xml:space="preserve">., </w:t>
      </w:r>
      <w:r w:rsidRPr="003F7AA0">
        <w:rPr>
          <w:vertAlign w:val="superscript"/>
          <w:lang w:val="en-US"/>
        </w:rPr>
        <w:t>4</w:t>
      </w:r>
      <w:r w:rsidRPr="00501159">
        <w:t>Модестов</w:t>
      </w:r>
      <w:r w:rsidRPr="003F7AA0">
        <w:rPr>
          <w:lang w:val="en-US"/>
        </w:rPr>
        <w:t xml:space="preserve"> </w:t>
      </w:r>
      <w:r w:rsidRPr="00501159">
        <w:t>В</w:t>
      </w:r>
      <w:r w:rsidRPr="003F7AA0">
        <w:rPr>
          <w:lang w:val="en-US"/>
        </w:rPr>
        <w:t>.</w:t>
      </w:r>
      <w:r w:rsidRPr="00501159">
        <w:t>С</w:t>
      </w:r>
      <w:r w:rsidRPr="003F7AA0">
        <w:rPr>
          <w:lang w:val="en-US"/>
        </w:rPr>
        <w:t>.</w:t>
      </w:r>
    </w:p>
    <w:p w:rsidR="009B4C3C" w:rsidRDefault="009B4C3C" w:rsidP="009B4C3C">
      <w:pPr>
        <w:pStyle w:val="Zv-Organization"/>
      </w:pPr>
      <w:r w:rsidRPr="00501159">
        <w:rPr>
          <w:vertAlign w:val="superscript"/>
        </w:rPr>
        <w:t>1</w:t>
      </w:r>
      <w:r w:rsidRPr="00C70E3F">
        <w:t>Институт ядерной физики им. Г.И. Будкера СО РАН, Новосибирск, РФ</w:t>
      </w:r>
      <w:r w:rsidRPr="00C70E3F">
        <w:br/>
      </w:r>
      <w:r w:rsidRPr="00501159">
        <w:rPr>
          <w:vertAlign w:val="superscript"/>
        </w:rPr>
        <w:t>2</w:t>
      </w:r>
      <w:r w:rsidRPr="00C70E3F">
        <w:t>Частное учреждение ГК «РосАтом» «Проектный центр ИТЭР», Москва, РФ</w:t>
      </w:r>
      <w:r w:rsidRPr="00C70E3F">
        <w:br/>
      </w:r>
      <w:r w:rsidRPr="00501159">
        <w:rPr>
          <w:vertAlign w:val="superscript"/>
        </w:rPr>
        <w:t>3</w:t>
      </w:r>
      <w:r w:rsidRPr="00C70E3F">
        <w:t>Новосибирский государственный технический университет, Новосибирск, РФ</w:t>
      </w:r>
      <w:r w:rsidRPr="00C70E3F">
        <w:br/>
      </w:r>
      <w:r w:rsidRPr="00501159">
        <w:rPr>
          <w:vertAlign w:val="superscript"/>
        </w:rPr>
        <w:t>4</w:t>
      </w:r>
      <w:r w:rsidRPr="00C70E3F">
        <w:t>Санкт-Петербургский государственный политехнический университет,</w:t>
      </w:r>
      <w:r w:rsidRPr="009B4C3C">
        <w:br/>
      </w:r>
      <w:r w:rsidRPr="003F7AA0">
        <w:t xml:space="preserve">    </w:t>
      </w:r>
      <w:r w:rsidRPr="00C70E3F">
        <w:t xml:space="preserve"> Санкт-Петербург, РФ</w:t>
      </w:r>
      <w:r w:rsidRPr="00C70E3F">
        <w:br/>
      </w:r>
      <w:r>
        <w:rPr>
          <w:vertAlign w:val="superscript"/>
        </w:rPr>
        <w:t>5</w:t>
      </w:r>
      <w:r w:rsidRPr="00C70E3F">
        <w:t>Новосибирский государственный университет, Новосибирск, РФ</w:t>
      </w:r>
    </w:p>
    <w:p w:rsidR="009B4C3C" w:rsidRDefault="009B4C3C" w:rsidP="009B4C3C">
      <w:pPr>
        <w:pStyle w:val="Zv-bodyreport"/>
      </w:pPr>
      <w:r w:rsidRPr="00F6652B">
        <w:t xml:space="preserve">Вертикальная </w:t>
      </w:r>
      <w:r>
        <w:t>Н</w:t>
      </w:r>
      <w:r w:rsidRPr="00F6652B">
        <w:t xml:space="preserve">ейтронная </w:t>
      </w:r>
      <w:r>
        <w:t>К</w:t>
      </w:r>
      <w:r w:rsidRPr="00F6652B">
        <w:t>амера</w:t>
      </w:r>
      <w:r>
        <w:t xml:space="preserve"> (ВНК)</w:t>
      </w:r>
      <w:r w:rsidRPr="00F6652B">
        <w:t xml:space="preserve"> для установки ИТЭР будет состоять из двух частей, в каждой из которых будет располагаться по шесть детекторных узлов, объединенных в герметичные диагностические модули, </w:t>
      </w:r>
      <w:r>
        <w:t>снабжё</w:t>
      </w:r>
      <w:r w:rsidRPr="00F6652B">
        <w:t xml:space="preserve">нные </w:t>
      </w:r>
      <w:r>
        <w:t xml:space="preserve">системой сервисного вакуума </w:t>
      </w:r>
      <w:r w:rsidRPr="00F6652B">
        <w:t>и системой водяного охлаждения. Верхняя ВНК будет установлена в верхний порт (ВП) №18 и должна являться со</w:t>
      </w:r>
      <w:r>
        <w:t>ставной частью ДЗМ этого порта, нижняя ВНК устанавливается в нижний порт (НП) №14.</w:t>
      </w:r>
    </w:p>
    <w:p w:rsidR="009B4C3C" w:rsidRDefault="009B4C3C" w:rsidP="009B4C3C">
      <w:pPr>
        <w:pStyle w:val="Zv-bodyreport"/>
      </w:pPr>
      <w:r>
        <w:t>Во время развития дизайна и интеграции данной диагностики были произведены следующие основные изменения и результаты работ:</w:t>
      </w:r>
    </w:p>
    <w:p w:rsidR="009B4C3C" w:rsidRDefault="009B4C3C" w:rsidP="009B4C3C">
      <w:pPr>
        <w:pStyle w:val="Zv-bodyreport"/>
      </w:pPr>
      <w:r>
        <w:t>- Для обеспечения наилучших результатов работы системы, детекторы должны быть размещены на наибольшем возможном удалении от плазмы, для этого были предприняты ряд усовершенствований. В связи с изменениями внутри верхнего порта №18, появилась возможность разместить детекторы на большее расстояние от плазмы, за счёт отказа от водяной системы охлаждения детекторов. Был переработан коммутационный узел блоков детекторов, в результате чего удалось спроектировать разводку электрических кабелей более компактно, что так же позволит отдалить детектор от плазмы.</w:t>
      </w:r>
    </w:p>
    <w:p w:rsidR="009B4C3C" w:rsidRDefault="009B4C3C" w:rsidP="009B4C3C">
      <w:pPr>
        <w:pStyle w:val="Zv-bodyreport"/>
      </w:pPr>
      <w:r>
        <w:t>- В связи с изменениями детекторных узлов в ВВНК была переработана защита вокруг диагностики и сам Диагностический Защитный Модуль (ДЗМ). Значительно уменьшены габаритные размеры диагностики ВВНК, установлен модульный электрический разъём, обеспечивающий электрическое соединение между диагностикой ВВНК и ДЗМом.</w:t>
      </w:r>
    </w:p>
    <w:p w:rsidR="009B4C3C" w:rsidRDefault="009B4C3C" w:rsidP="009B4C3C">
      <w:pPr>
        <w:pStyle w:val="Zv-bodyreport"/>
      </w:pPr>
      <w:r>
        <w:t>- Подрядной организацией была разработана технология сборки нейтронной защиты для шкафа с электроникой, располагающейся в портовой ячейке НП№14, и произведена опытная партия элементов защиты с демонстрацией результатов сборки защиты.</w:t>
      </w:r>
    </w:p>
    <w:p w:rsidR="009B4C3C" w:rsidRDefault="009B4C3C" w:rsidP="009B4C3C">
      <w:pPr>
        <w:pStyle w:val="Zv-bodyreport"/>
      </w:pPr>
      <w:r>
        <w:t>- В 2019 году был подготовлен полный пакет чертежей для производства макета обновлённого коммутационного узла.</w:t>
      </w:r>
    </w:p>
    <w:p w:rsidR="009B4C3C" w:rsidRPr="003B7437" w:rsidRDefault="009B4C3C" w:rsidP="009B4C3C">
      <w:pPr>
        <w:pStyle w:val="Zv-bodyreport"/>
      </w:pPr>
      <w:r>
        <w:t>- Подрядной организацией были подготовлены термогидравлические, сейсмические и электромагнитные анализы НВНК</w:t>
      </w:r>
      <w:r w:rsidRPr="003B7437">
        <w:t>.</w:t>
      </w:r>
    </w:p>
    <w:p w:rsidR="00654A7B" w:rsidRPr="009B4C3C" w:rsidRDefault="00654A7B"/>
    <w:sectPr w:rsidR="00654A7B" w:rsidRPr="009B4C3C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0C3" w:rsidRDefault="000C10C3">
      <w:r>
        <w:separator/>
      </w:r>
    </w:p>
  </w:endnote>
  <w:endnote w:type="continuationSeparator" w:id="0">
    <w:p w:rsidR="000C10C3" w:rsidRDefault="000C1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004E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004E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33C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0C3" w:rsidRDefault="000C10C3">
      <w:r>
        <w:separator/>
      </w:r>
    </w:p>
  </w:footnote>
  <w:footnote w:type="continuationSeparator" w:id="0">
    <w:p w:rsidR="000C10C3" w:rsidRDefault="000C10C3">
      <w:r>
        <w:continuationSeparator/>
      </w:r>
    </w:p>
  </w:footnote>
  <w:footnote w:id="1">
    <w:p w:rsidR="003F7AA0" w:rsidRPr="003F7AA0" w:rsidRDefault="003F7AA0">
      <w:pPr>
        <w:pStyle w:val="a7"/>
        <w:rPr>
          <w:sz w:val="22"/>
          <w:szCs w:val="22"/>
          <w:lang w:val="en-US"/>
        </w:rPr>
      </w:pPr>
      <w:r w:rsidRPr="003F7AA0">
        <w:rPr>
          <w:rStyle w:val="a9"/>
          <w:sz w:val="22"/>
          <w:szCs w:val="22"/>
        </w:rPr>
        <w:t>*)</w:t>
      </w:r>
      <w:r w:rsidRPr="003F7AA0">
        <w:rPr>
          <w:sz w:val="22"/>
          <w:szCs w:val="22"/>
        </w:rPr>
        <w:t xml:space="preserve">  </w:t>
      </w:r>
      <w:hyperlink r:id="rId1" w:history="1">
        <w:r w:rsidRPr="005133C2">
          <w:rPr>
            <w:rStyle w:val="aa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9004E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C10C3"/>
    <w:rsid w:val="00037DCC"/>
    <w:rsid w:val="00043701"/>
    <w:rsid w:val="000C10C3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3F7AA0"/>
    <w:rsid w:val="00401388"/>
    <w:rsid w:val="00446025"/>
    <w:rsid w:val="00447ABC"/>
    <w:rsid w:val="004A77D1"/>
    <w:rsid w:val="004B72AA"/>
    <w:rsid w:val="004F4E29"/>
    <w:rsid w:val="005133C2"/>
    <w:rsid w:val="00567C6F"/>
    <w:rsid w:val="00572013"/>
    <w:rsid w:val="0058676C"/>
    <w:rsid w:val="005E5D55"/>
    <w:rsid w:val="00650CBC"/>
    <w:rsid w:val="00654A7B"/>
    <w:rsid w:val="0066672D"/>
    <w:rsid w:val="006673EE"/>
    <w:rsid w:val="00683140"/>
    <w:rsid w:val="0068467A"/>
    <w:rsid w:val="006A1743"/>
    <w:rsid w:val="006F68D0"/>
    <w:rsid w:val="00732A2E"/>
    <w:rsid w:val="007B6378"/>
    <w:rsid w:val="00802D35"/>
    <w:rsid w:val="008E2894"/>
    <w:rsid w:val="009004E8"/>
    <w:rsid w:val="0094721E"/>
    <w:rsid w:val="009B4C3C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footnote text"/>
    <w:basedOn w:val="a"/>
    <w:link w:val="a8"/>
    <w:rsid w:val="003F7AA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3F7AA0"/>
  </w:style>
  <w:style w:type="character" w:styleId="a9">
    <w:name w:val="footnote reference"/>
    <w:basedOn w:val="a0"/>
    <w:rsid w:val="003F7AA0"/>
    <w:rPr>
      <w:vertAlign w:val="superscript"/>
    </w:rPr>
  </w:style>
  <w:style w:type="character" w:styleId="aa">
    <w:name w:val="Hyperlink"/>
    <w:basedOn w:val="a0"/>
    <w:rsid w:val="005133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E/en/IU-Taska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5FC08-FCD0-44E9-961B-F1CFCD1C7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5</TotalTime>
  <Pages>1</Pages>
  <Words>315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ИНТЕГРАЦИИ ВЕРТИКАЛЬНОЙ НЕЙТРОННОЙ КАМЕРЫ</dc:title>
  <dc:creator>sato</dc:creator>
  <cp:lastModifiedBy>Сатунин</cp:lastModifiedBy>
  <cp:revision>3</cp:revision>
  <cp:lastPrinted>1601-01-01T00:00:00Z</cp:lastPrinted>
  <dcterms:created xsi:type="dcterms:W3CDTF">2020-02-27T11:08:00Z</dcterms:created>
  <dcterms:modified xsi:type="dcterms:W3CDTF">2020-04-30T15:34:00Z</dcterms:modified>
</cp:coreProperties>
</file>