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7C" w:rsidRPr="00211FFF" w:rsidRDefault="0080009A" w:rsidP="00E9427C">
      <w:pPr>
        <w:pStyle w:val="Zv-Titlereport"/>
        <w:rPr>
          <w:bCs/>
          <w:iCs/>
          <w:lang w:val="en-US"/>
        </w:rPr>
      </w:pPr>
      <w:r w:rsidRPr="0080009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80009A" w:rsidRPr="0095603D" w:rsidRDefault="0080009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0009A">
                    <w:rPr>
                      <w:sz w:val="22"/>
                      <w:szCs w:val="22"/>
                    </w:rPr>
                    <w:t>10.34854/ICPAF.2020.47.1.195</w:t>
                  </w:r>
                </w:p>
              </w:txbxContent>
            </v:textbox>
            <w10:anchorlock/>
          </v:shape>
        </w:pict>
      </w:r>
      <w:r w:rsidR="00E9427C">
        <w:rPr>
          <w:lang w:val="en-US"/>
        </w:rPr>
        <w:t>Application of non-organic scintillators to dd-Neutron flux monitoring</w:t>
      </w:r>
      <w:r w:rsidR="00095061">
        <w:rPr>
          <w:lang w:val="en-US"/>
        </w:rPr>
        <w:t xml:space="preserve"> </w:t>
      </w:r>
      <w:r w:rsidR="00095061">
        <w:rPr>
          <w:rStyle w:val="aa"/>
          <w:lang w:val="en-US"/>
        </w:rPr>
        <w:footnoteReference w:customMarkFollows="1" w:id="1"/>
        <w:t>*)</w:t>
      </w:r>
    </w:p>
    <w:p w:rsidR="00E9427C" w:rsidRPr="00211FFF" w:rsidRDefault="00E9427C" w:rsidP="00E9427C">
      <w:pPr>
        <w:pStyle w:val="Zv-Author"/>
        <w:rPr>
          <w:lang w:val="en-US"/>
        </w:rPr>
      </w:pPr>
      <w:r w:rsidRPr="00E9427C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>
        <w:rPr>
          <w:u w:val="single"/>
          <w:lang w:val="en-US"/>
        </w:rPr>
        <w:t>Kormilitsyn T.M.</w:t>
      </w:r>
      <w:r w:rsidRPr="00211FFF">
        <w:rPr>
          <w:lang w:val="en-US"/>
        </w:rPr>
        <w:t xml:space="preserve">, </w:t>
      </w:r>
      <w:r w:rsidRPr="00211FFF">
        <w:rPr>
          <w:vertAlign w:val="superscript"/>
          <w:lang w:val="en-US"/>
        </w:rPr>
        <w:t>1</w:t>
      </w:r>
      <w:r w:rsidRPr="00211FFF">
        <w:rPr>
          <w:lang w:val="en-US"/>
        </w:rPr>
        <w:t xml:space="preserve">Obudovsky S.Yu., </w:t>
      </w:r>
      <w:r w:rsidRPr="00211FFF">
        <w:rPr>
          <w:vertAlign w:val="superscript"/>
          <w:lang w:val="en-US"/>
        </w:rPr>
        <w:t>2</w:t>
      </w:r>
      <w:r>
        <w:rPr>
          <w:lang w:val="en-US"/>
        </w:rPr>
        <w:t>Pankratenko A.V.,</w:t>
      </w:r>
      <w:r w:rsidRPr="00211FFF">
        <w:rPr>
          <w:lang w:val="en-US"/>
        </w:rPr>
        <w:t xml:space="preserve"> </w:t>
      </w:r>
      <w:r w:rsidRPr="00211FFF">
        <w:rPr>
          <w:vertAlign w:val="superscript"/>
          <w:lang w:val="en-US"/>
        </w:rPr>
        <w:t>1</w:t>
      </w:r>
      <w:r>
        <w:rPr>
          <w:lang w:val="en-US"/>
        </w:rPr>
        <w:t>Kashchuk Yu.A.,</w:t>
      </w:r>
      <w:r w:rsidRPr="00211FFF">
        <w:rPr>
          <w:lang w:val="en-US"/>
        </w:rPr>
        <w:t xml:space="preserve"> </w:t>
      </w:r>
      <w:r w:rsidRPr="00E9427C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>
        <w:rPr>
          <w:lang w:val="en-US"/>
        </w:rPr>
        <w:t xml:space="preserve">Kumpilov D.A., </w:t>
      </w:r>
      <w:r w:rsidRPr="00211FFF">
        <w:rPr>
          <w:vertAlign w:val="superscript"/>
          <w:lang w:val="en-US"/>
        </w:rPr>
        <w:t>1</w:t>
      </w:r>
      <w:r>
        <w:rPr>
          <w:lang w:val="en-US"/>
        </w:rPr>
        <w:t>Dzhurik A.S.</w:t>
      </w:r>
    </w:p>
    <w:p w:rsidR="00E9427C" w:rsidRPr="00CB0B60" w:rsidRDefault="00E9427C" w:rsidP="00E9427C">
      <w:pPr>
        <w:pStyle w:val="Zv-Organization"/>
        <w:rPr>
          <w:lang w:val="en-US"/>
        </w:rPr>
      </w:pPr>
      <w:r w:rsidRPr="007832F6">
        <w:rPr>
          <w:vertAlign w:val="superscript"/>
          <w:lang w:val="en-US"/>
        </w:rPr>
        <w:t>1</w:t>
      </w:r>
      <w:r>
        <w:rPr>
          <w:lang w:val="en-US"/>
        </w:rPr>
        <w:t>Project</w:t>
      </w:r>
      <w:r w:rsidRPr="007832F6">
        <w:rPr>
          <w:lang w:val="en-US"/>
        </w:rPr>
        <w:t xml:space="preserve"> </w:t>
      </w:r>
      <w:r>
        <w:rPr>
          <w:lang w:val="en-US"/>
        </w:rPr>
        <w:t>Center</w:t>
      </w:r>
      <w:r w:rsidRPr="007832F6">
        <w:rPr>
          <w:lang w:val="en-US"/>
        </w:rPr>
        <w:t xml:space="preserve"> </w:t>
      </w:r>
      <w:r>
        <w:rPr>
          <w:lang w:val="en-US"/>
        </w:rPr>
        <w:t>ITER</w:t>
      </w:r>
      <w:r w:rsidRPr="007832F6">
        <w:rPr>
          <w:lang w:val="en-US"/>
        </w:rPr>
        <w:t xml:space="preserve">, </w:t>
      </w:r>
      <w:r>
        <w:rPr>
          <w:lang w:val="en-US"/>
        </w:rPr>
        <w:t>Moscow</w:t>
      </w:r>
      <w:r w:rsidRPr="007832F6">
        <w:rPr>
          <w:lang w:val="en-US"/>
        </w:rPr>
        <w:t xml:space="preserve">, </w:t>
      </w:r>
      <w:r>
        <w:rPr>
          <w:lang w:val="en-US"/>
        </w:rPr>
        <w:t>Russia</w:t>
      </w:r>
      <w:r w:rsidRPr="007832F6">
        <w:rPr>
          <w:lang w:val="en-US"/>
        </w:rPr>
        <w:t xml:space="preserve">, </w:t>
      </w:r>
      <w:hyperlink r:id="rId8" w:history="1">
        <w:r w:rsidRPr="00294B71">
          <w:rPr>
            <w:rStyle w:val="a7"/>
            <w:lang w:val="en-US"/>
          </w:rPr>
          <w:t>T.Kormilitsyn@iterrf.ru</w:t>
        </w:r>
      </w:hyperlink>
      <w:r>
        <w:rPr>
          <w:lang w:val="en-US"/>
        </w:rPr>
        <w:br/>
      </w:r>
      <w:r w:rsidRPr="00CB0B60">
        <w:rPr>
          <w:vertAlign w:val="superscript"/>
          <w:lang w:val="en-US"/>
        </w:rPr>
        <w:t>2</w:t>
      </w:r>
      <w:r w:rsidRPr="00CB0B60">
        <w:rPr>
          <w:lang w:val="en-US"/>
        </w:rPr>
        <w:t>Moscow Institute of Physics and Technology (National Research University), Dolgoprudnyi,</w:t>
      </w:r>
      <w:r>
        <w:rPr>
          <w:lang w:val="en-US"/>
        </w:rPr>
        <w:br/>
        <w:t xml:space="preserve">    </w:t>
      </w:r>
      <w:r w:rsidRPr="00CB0B60">
        <w:rPr>
          <w:lang w:val="en-US"/>
        </w:rPr>
        <w:t xml:space="preserve"> Russia</w:t>
      </w:r>
    </w:p>
    <w:p w:rsidR="00E9427C" w:rsidRPr="008E50D4" w:rsidRDefault="00E9427C" w:rsidP="00E9427C">
      <w:pPr>
        <w:pStyle w:val="Zv-bodyreport"/>
        <w:rPr>
          <w:lang w:val="en-US"/>
        </w:rPr>
      </w:pPr>
      <w:r>
        <w:rPr>
          <w:lang w:val="en-US"/>
        </w:rPr>
        <w:t>Current</w:t>
      </w:r>
      <w:r w:rsidRPr="008E50D4">
        <w:rPr>
          <w:lang w:val="en-US"/>
        </w:rPr>
        <w:t xml:space="preserve"> </w:t>
      </w:r>
      <w:r>
        <w:rPr>
          <w:lang w:val="en-US"/>
        </w:rPr>
        <w:t>work</w:t>
      </w:r>
      <w:r w:rsidRPr="008E50D4">
        <w:rPr>
          <w:lang w:val="en-US"/>
        </w:rPr>
        <w:t xml:space="preserve"> </w:t>
      </w:r>
      <w:r>
        <w:rPr>
          <w:lang w:val="en-US"/>
        </w:rPr>
        <w:t>discusses the use of non-organic scintillator crystals for DD-neutron flux monitoring. This</w:t>
      </w:r>
      <w:r w:rsidRPr="008E50D4">
        <w:rPr>
          <w:lang w:val="en-US"/>
        </w:rPr>
        <w:t xml:space="preserve"> </w:t>
      </w:r>
      <w:r>
        <w:rPr>
          <w:lang w:val="en-US"/>
        </w:rPr>
        <w:t>type</w:t>
      </w:r>
      <w:r w:rsidRPr="008E50D4">
        <w:rPr>
          <w:lang w:val="en-US"/>
        </w:rPr>
        <w:t xml:space="preserve"> </w:t>
      </w:r>
      <w:r>
        <w:rPr>
          <w:lang w:val="en-US"/>
        </w:rPr>
        <w:t>of</w:t>
      </w:r>
      <w:r w:rsidRPr="008E50D4">
        <w:rPr>
          <w:lang w:val="en-US"/>
        </w:rPr>
        <w:t xml:space="preserve"> </w:t>
      </w:r>
      <w:r>
        <w:rPr>
          <w:lang w:val="en-US"/>
        </w:rPr>
        <w:t>crystals</w:t>
      </w:r>
      <w:r w:rsidRPr="008E50D4">
        <w:rPr>
          <w:lang w:val="en-US"/>
        </w:rPr>
        <w:t xml:space="preserve"> </w:t>
      </w:r>
      <w:r>
        <w:rPr>
          <w:lang w:val="en-US"/>
        </w:rPr>
        <w:t>can</w:t>
      </w:r>
      <w:r w:rsidRPr="008E50D4">
        <w:rPr>
          <w:lang w:val="en-US"/>
        </w:rPr>
        <w:t xml:space="preserve"> </w:t>
      </w:r>
      <w:r>
        <w:rPr>
          <w:lang w:val="en-US"/>
        </w:rPr>
        <w:t>potentially</w:t>
      </w:r>
      <w:r w:rsidRPr="008E50D4">
        <w:rPr>
          <w:lang w:val="en-US"/>
        </w:rPr>
        <w:t xml:space="preserve"> </w:t>
      </w:r>
      <w:r>
        <w:rPr>
          <w:lang w:val="en-US"/>
        </w:rPr>
        <w:t>be</w:t>
      </w:r>
      <w:r w:rsidRPr="008E50D4">
        <w:rPr>
          <w:lang w:val="en-US"/>
        </w:rPr>
        <w:t xml:space="preserve"> </w:t>
      </w:r>
      <w:r>
        <w:rPr>
          <w:lang w:val="en-US"/>
        </w:rPr>
        <w:t>utilized</w:t>
      </w:r>
      <w:r w:rsidRPr="008E50D4">
        <w:rPr>
          <w:lang w:val="en-US"/>
        </w:rPr>
        <w:t xml:space="preserve"> </w:t>
      </w:r>
      <w:r>
        <w:rPr>
          <w:lang w:val="en-US"/>
        </w:rPr>
        <w:t>on</w:t>
      </w:r>
      <w:r w:rsidRPr="008E50D4">
        <w:rPr>
          <w:lang w:val="en-US"/>
        </w:rPr>
        <w:t xml:space="preserve"> </w:t>
      </w:r>
      <w:r>
        <w:rPr>
          <w:lang w:val="en-US"/>
        </w:rPr>
        <w:t>modern magnetic confinement fusion research facilities. We</w:t>
      </w:r>
      <w:r w:rsidRPr="008E50D4">
        <w:rPr>
          <w:lang w:val="en-US"/>
        </w:rPr>
        <w:t xml:space="preserve"> </w:t>
      </w:r>
      <w:r>
        <w:rPr>
          <w:lang w:val="en-US"/>
        </w:rPr>
        <w:t>provide</w:t>
      </w:r>
      <w:r w:rsidRPr="008E50D4">
        <w:rPr>
          <w:lang w:val="en-US"/>
        </w:rPr>
        <w:t xml:space="preserve"> </w:t>
      </w:r>
      <w:r>
        <w:rPr>
          <w:lang w:val="en-US"/>
        </w:rPr>
        <w:t>an</w:t>
      </w:r>
      <w:r w:rsidRPr="008E50D4">
        <w:rPr>
          <w:lang w:val="en-US"/>
        </w:rPr>
        <w:t xml:space="preserve"> </w:t>
      </w:r>
      <w:r>
        <w:rPr>
          <w:lang w:val="en-US"/>
        </w:rPr>
        <w:t>application</w:t>
      </w:r>
      <w:r w:rsidRPr="008E50D4">
        <w:rPr>
          <w:lang w:val="en-US"/>
        </w:rPr>
        <w:t xml:space="preserve"> </w:t>
      </w:r>
      <w:r>
        <w:rPr>
          <w:lang w:val="en-US"/>
        </w:rPr>
        <w:t>overview</w:t>
      </w:r>
      <w:r w:rsidRPr="008E50D4">
        <w:rPr>
          <w:lang w:val="en-US"/>
        </w:rPr>
        <w:t xml:space="preserve"> </w:t>
      </w:r>
      <w:r>
        <w:rPr>
          <w:lang w:val="en-US"/>
        </w:rPr>
        <w:t>of</w:t>
      </w:r>
      <w:r w:rsidRPr="008E50D4">
        <w:rPr>
          <w:lang w:val="en-US"/>
        </w:rPr>
        <w:t xml:space="preserve"> </w:t>
      </w:r>
      <w:r>
        <w:rPr>
          <w:lang w:val="en-US"/>
        </w:rPr>
        <w:t>the</w:t>
      </w:r>
      <w:r w:rsidRPr="008E50D4">
        <w:rPr>
          <w:lang w:val="en-US"/>
        </w:rPr>
        <w:t xml:space="preserve"> </w:t>
      </w:r>
      <w:r>
        <w:rPr>
          <w:lang w:val="en-US"/>
        </w:rPr>
        <w:t>crystals that allow for n–</w:t>
      </w:r>
      <w:r w:rsidRPr="007C3352">
        <w:rPr>
          <w:lang w:val="en-US"/>
        </w:rPr>
        <w:t>γ</w:t>
      </w:r>
      <w:r>
        <w:rPr>
          <w:lang w:val="en-US"/>
        </w:rPr>
        <w:t xml:space="preserve"> pulse shape discrimination. </w:t>
      </w:r>
    </w:p>
    <w:p w:rsidR="00E9427C" w:rsidRDefault="00E9427C" w:rsidP="00E9427C">
      <w:pPr>
        <w:pStyle w:val="Zv-bodyreport"/>
        <w:rPr>
          <w:lang w:val="en-US"/>
        </w:rPr>
      </w:pPr>
      <w:r>
        <w:rPr>
          <w:lang w:val="en-US"/>
        </w:rPr>
        <w:t>For</w:t>
      </w:r>
      <w:r w:rsidRPr="008E50D4">
        <w:rPr>
          <w:lang w:val="en-US"/>
        </w:rPr>
        <w:t xml:space="preserve"> </w:t>
      </w:r>
      <w:r>
        <w:rPr>
          <w:lang w:val="en-US"/>
        </w:rPr>
        <w:t>modelling</w:t>
      </w:r>
      <w:r w:rsidRPr="008E50D4">
        <w:rPr>
          <w:lang w:val="en-US"/>
        </w:rPr>
        <w:t xml:space="preserve"> </w:t>
      </w:r>
      <w:r>
        <w:rPr>
          <w:lang w:val="en-US"/>
        </w:rPr>
        <w:t>of</w:t>
      </w:r>
      <w:r w:rsidRPr="008E50D4">
        <w:rPr>
          <w:lang w:val="en-US"/>
        </w:rPr>
        <w:t xml:space="preserve"> </w:t>
      </w:r>
      <w:r>
        <w:rPr>
          <w:lang w:val="en-US"/>
        </w:rPr>
        <w:t>the chlorine-based scintillator</w:t>
      </w:r>
      <w:r w:rsidRPr="008E50D4">
        <w:rPr>
          <w:lang w:val="en-US"/>
        </w:rPr>
        <w:t xml:space="preserve"> </w:t>
      </w:r>
      <w:r>
        <w:rPr>
          <w:lang w:val="en-US"/>
        </w:rPr>
        <w:t>detector response functions we utilize the GEANT</w:t>
      </w:r>
      <w:r w:rsidRPr="008E50D4">
        <w:rPr>
          <w:lang w:val="en-US"/>
        </w:rPr>
        <w:t>4 [1]</w:t>
      </w:r>
      <w:r>
        <w:rPr>
          <w:lang w:val="en-US"/>
        </w:rPr>
        <w:t xml:space="preserve"> software. We</w:t>
      </w:r>
      <w:r w:rsidRPr="008E50D4">
        <w:rPr>
          <w:lang w:val="en-US"/>
        </w:rPr>
        <w:t xml:space="preserve"> </w:t>
      </w:r>
      <w:r>
        <w:rPr>
          <w:lang w:val="en-US"/>
        </w:rPr>
        <w:t>explore</w:t>
      </w:r>
      <w:r w:rsidRPr="008E50D4">
        <w:rPr>
          <w:lang w:val="en-US"/>
        </w:rPr>
        <w:t xml:space="preserve"> </w:t>
      </w:r>
      <w:r>
        <w:rPr>
          <w:lang w:val="en-US"/>
        </w:rPr>
        <w:t>the</w:t>
      </w:r>
      <w:r w:rsidRPr="008E50D4">
        <w:rPr>
          <w:lang w:val="en-US"/>
        </w:rPr>
        <w:t xml:space="preserve"> </w:t>
      </w:r>
      <w:r>
        <w:rPr>
          <w:lang w:val="en-US"/>
        </w:rPr>
        <w:t>correlation</w:t>
      </w:r>
      <w:r w:rsidRPr="008E50D4">
        <w:rPr>
          <w:lang w:val="en-US"/>
        </w:rPr>
        <w:t xml:space="preserve"> </w:t>
      </w:r>
      <w:r>
        <w:rPr>
          <w:lang w:val="en-US"/>
        </w:rPr>
        <w:t>between</w:t>
      </w:r>
      <w:r w:rsidRPr="008E50D4">
        <w:rPr>
          <w:lang w:val="en-US"/>
        </w:rPr>
        <w:t xml:space="preserve"> </w:t>
      </w:r>
      <w:r>
        <w:rPr>
          <w:lang w:val="en-US"/>
        </w:rPr>
        <w:t>the</w:t>
      </w:r>
      <w:r w:rsidRPr="008E50D4">
        <w:rPr>
          <w:lang w:val="en-US"/>
        </w:rPr>
        <w:t xml:space="preserve"> </w:t>
      </w:r>
      <w:r>
        <w:rPr>
          <w:lang w:val="en-US"/>
        </w:rPr>
        <w:t>modelled</w:t>
      </w:r>
      <w:r w:rsidRPr="008E50D4">
        <w:rPr>
          <w:lang w:val="en-US"/>
        </w:rPr>
        <w:t xml:space="preserve"> </w:t>
      </w:r>
      <w:r>
        <w:rPr>
          <w:lang w:val="en-US"/>
        </w:rPr>
        <w:t>responses and experimental data for various incident particle energies.</w:t>
      </w:r>
    </w:p>
    <w:p w:rsidR="00E9427C" w:rsidRPr="00E073F4" w:rsidRDefault="00E9427C" w:rsidP="00E9427C">
      <w:pPr>
        <w:pStyle w:val="Zv-bodyreport"/>
        <w:rPr>
          <w:lang w:val="en-US"/>
        </w:rPr>
      </w:pPr>
      <w:r>
        <w:rPr>
          <w:lang w:val="en-US"/>
        </w:rPr>
        <w:t>During</w:t>
      </w:r>
      <w:r w:rsidRPr="0015323D">
        <w:rPr>
          <w:lang w:val="en-US"/>
        </w:rPr>
        <w:t xml:space="preserve"> </w:t>
      </w:r>
      <w:r>
        <w:rPr>
          <w:lang w:val="en-US"/>
        </w:rPr>
        <w:t>preparation</w:t>
      </w:r>
      <w:r w:rsidRPr="0015323D">
        <w:rPr>
          <w:lang w:val="en-US"/>
        </w:rPr>
        <w:t xml:space="preserve"> </w:t>
      </w:r>
      <w:r>
        <w:rPr>
          <w:lang w:val="en-US"/>
        </w:rPr>
        <w:t>of</w:t>
      </w:r>
      <w:r w:rsidRPr="0015323D">
        <w:rPr>
          <w:lang w:val="en-US"/>
        </w:rPr>
        <w:t xml:space="preserve"> </w:t>
      </w:r>
      <w:r>
        <w:rPr>
          <w:lang w:val="en-US"/>
        </w:rPr>
        <w:t>the</w:t>
      </w:r>
      <w:r w:rsidRPr="0015323D">
        <w:rPr>
          <w:lang w:val="en-US"/>
        </w:rPr>
        <w:t xml:space="preserve"> </w:t>
      </w:r>
      <w:r>
        <w:rPr>
          <w:lang w:val="en-US"/>
        </w:rPr>
        <w:t>LaCl</w:t>
      </w:r>
      <w:r w:rsidRPr="0015323D">
        <w:rPr>
          <w:vertAlign w:val="subscript"/>
          <w:lang w:val="en-US"/>
        </w:rPr>
        <w:t>3</w:t>
      </w:r>
      <w:r w:rsidRPr="0015323D">
        <w:rPr>
          <w:lang w:val="en-US"/>
        </w:rPr>
        <w:t>(</w:t>
      </w:r>
      <w:r>
        <w:rPr>
          <w:lang w:val="en-US"/>
        </w:rPr>
        <w:t>Ce</w:t>
      </w:r>
      <w:r w:rsidRPr="0015323D">
        <w:rPr>
          <w:lang w:val="en-US"/>
        </w:rPr>
        <w:t xml:space="preserve">) </w:t>
      </w:r>
      <w:r>
        <w:rPr>
          <w:lang w:val="en-US"/>
        </w:rPr>
        <w:t>crystal</w:t>
      </w:r>
      <w:r w:rsidRPr="0015323D">
        <w:rPr>
          <w:lang w:val="en-US"/>
        </w:rPr>
        <w:t xml:space="preserve"> </w:t>
      </w:r>
      <w:r>
        <w:rPr>
          <w:lang w:val="en-US"/>
        </w:rPr>
        <w:t>for</w:t>
      </w:r>
      <w:r w:rsidRPr="0015323D">
        <w:rPr>
          <w:lang w:val="en-US"/>
        </w:rPr>
        <w:t xml:space="preserve"> </w:t>
      </w:r>
      <w:r>
        <w:rPr>
          <w:lang w:val="en-US"/>
        </w:rPr>
        <w:t>experiments</w:t>
      </w:r>
      <w:r w:rsidRPr="0015323D">
        <w:rPr>
          <w:lang w:val="en-US"/>
        </w:rPr>
        <w:t xml:space="preserve"> </w:t>
      </w:r>
      <w:r>
        <w:rPr>
          <w:lang w:val="en-US"/>
        </w:rPr>
        <w:t>with</w:t>
      </w:r>
      <w:r w:rsidRPr="0015323D">
        <w:rPr>
          <w:lang w:val="en-US"/>
        </w:rPr>
        <w:t xml:space="preserve"> </w:t>
      </w:r>
      <w:r>
        <w:rPr>
          <w:lang w:val="en-US"/>
        </w:rPr>
        <w:t>AmBe neutron source and ING</w:t>
      </w:r>
      <w:r w:rsidRPr="0015323D">
        <w:rPr>
          <w:lang w:val="en-US"/>
        </w:rPr>
        <w:t>-07</w:t>
      </w:r>
      <w:r>
        <w:rPr>
          <w:lang w:val="en-US"/>
        </w:rPr>
        <w:t>D</w:t>
      </w:r>
      <w:r w:rsidRPr="0015323D">
        <w:rPr>
          <w:lang w:val="en-US"/>
        </w:rPr>
        <w:t xml:space="preserve"> </w:t>
      </w:r>
      <w:r>
        <w:rPr>
          <w:lang w:val="en-US"/>
        </w:rPr>
        <w:t>neutron</w:t>
      </w:r>
      <w:r w:rsidRPr="0015323D">
        <w:rPr>
          <w:lang w:val="en-US"/>
        </w:rPr>
        <w:t xml:space="preserve"> </w:t>
      </w:r>
      <w:r>
        <w:rPr>
          <w:lang w:val="en-US"/>
        </w:rPr>
        <w:t>generator</w:t>
      </w:r>
      <w:r w:rsidRPr="0015323D">
        <w:rPr>
          <w:lang w:val="en-US"/>
        </w:rPr>
        <w:t xml:space="preserve"> </w:t>
      </w:r>
      <w:r>
        <w:rPr>
          <w:lang w:val="en-US"/>
        </w:rPr>
        <w:t>we</w:t>
      </w:r>
      <w:r w:rsidRPr="0015323D">
        <w:rPr>
          <w:lang w:val="en-US"/>
        </w:rPr>
        <w:t xml:space="preserve"> </w:t>
      </w:r>
      <w:r>
        <w:rPr>
          <w:lang w:val="en-US"/>
        </w:rPr>
        <w:t>have</w:t>
      </w:r>
      <w:r w:rsidRPr="0015323D">
        <w:rPr>
          <w:lang w:val="en-US"/>
        </w:rPr>
        <w:t xml:space="preserve"> </w:t>
      </w:r>
      <w:r>
        <w:rPr>
          <w:lang w:val="en-US"/>
        </w:rPr>
        <w:t>conducted</w:t>
      </w:r>
      <w:r w:rsidRPr="0015323D">
        <w:rPr>
          <w:lang w:val="en-US"/>
        </w:rPr>
        <w:t xml:space="preserve"> </w:t>
      </w:r>
      <w:r>
        <w:rPr>
          <w:lang w:val="en-US"/>
        </w:rPr>
        <w:t>the</w:t>
      </w:r>
      <w:r w:rsidRPr="0015323D">
        <w:rPr>
          <w:lang w:val="en-US"/>
        </w:rPr>
        <w:t xml:space="preserve"> </w:t>
      </w:r>
      <w:r>
        <w:rPr>
          <w:lang w:val="en-US"/>
        </w:rPr>
        <w:t>following procedures: instrumentation parameter setup, energy axis calibration. We</w:t>
      </w:r>
      <w:r w:rsidRPr="00E073F4">
        <w:rPr>
          <w:lang w:val="en-US"/>
        </w:rPr>
        <w:t xml:space="preserve"> </w:t>
      </w:r>
      <w:r>
        <w:rPr>
          <w:lang w:val="en-US"/>
        </w:rPr>
        <w:t>discuss</w:t>
      </w:r>
      <w:r w:rsidRPr="00E073F4">
        <w:rPr>
          <w:lang w:val="en-US"/>
        </w:rPr>
        <w:t xml:space="preserve"> </w:t>
      </w:r>
      <w:r>
        <w:rPr>
          <w:lang w:val="en-US"/>
        </w:rPr>
        <w:t>in</w:t>
      </w:r>
      <w:r w:rsidRPr="00E073F4">
        <w:rPr>
          <w:lang w:val="en-US"/>
        </w:rPr>
        <w:t xml:space="preserve"> </w:t>
      </w:r>
      <w:r>
        <w:rPr>
          <w:lang w:val="en-US"/>
        </w:rPr>
        <w:t>detail</w:t>
      </w:r>
      <w:r w:rsidRPr="00E073F4">
        <w:rPr>
          <w:lang w:val="en-US"/>
        </w:rPr>
        <w:t xml:space="preserve"> </w:t>
      </w:r>
      <w:r>
        <w:rPr>
          <w:lang w:val="en-US"/>
        </w:rPr>
        <w:t>the</w:t>
      </w:r>
      <w:r w:rsidRPr="00E073F4">
        <w:rPr>
          <w:lang w:val="en-US"/>
        </w:rPr>
        <w:t xml:space="preserve"> </w:t>
      </w:r>
      <w:r>
        <w:rPr>
          <w:lang w:val="en-US"/>
        </w:rPr>
        <w:t>neutron</w:t>
      </w:r>
      <w:r w:rsidRPr="00E073F4">
        <w:rPr>
          <w:lang w:val="en-US"/>
        </w:rPr>
        <w:t xml:space="preserve"> </w:t>
      </w:r>
      <w:r>
        <w:rPr>
          <w:lang w:val="en-US"/>
        </w:rPr>
        <w:t>measurements</w:t>
      </w:r>
      <w:r w:rsidRPr="00E073F4">
        <w:rPr>
          <w:lang w:val="en-US"/>
        </w:rPr>
        <w:t xml:space="preserve"> </w:t>
      </w:r>
      <w:r>
        <w:rPr>
          <w:lang w:val="en-US"/>
        </w:rPr>
        <w:t>that</w:t>
      </w:r>
      <w:r w:rsidRPr="00E073F4">
        <w:rPr>
          <w:lang w:val="en-US"/>
        </w:rPr>
        <w:t xml:space="preserve"> </w:t>
      </w:r>
      <w:r>
        <w:rPr>
          <w:lang w:val="en-US"/>
        </w:rPr>
        <w:t>followed</w:t>
      </w:r>
      <w:r w:rsidRPr="00E073F4">
        <w:rPr>
          <w:lang w:val="en-US"/>
        </w:rPr>
        <w:t>.</w:t>
      </w:r>
    </w:p>
    <w:p w:rsidR="00E9427C" w:rsidRPr="006600D9" w:rsidRDefault="00E9427C" w:rsidP="00E9427C">
      <w:pPr>
        <w:pStyle w:val="Zv-bodyreport"/>
        <w:rPr>
          <w:lang w:val="en-US"/>
        </w:rPr>
      </w:pPr>
      <w:r>
        <w:rPr>
          <w:lang w:val="en-US"/>
        </w:rPr>
        <w:t>Calculated response functions demonstrate good correlation with the data acquired during experimental measurements. These</w:t>
      </w:r>
      <w:r w:rsidRPr="008678AC">
        <w:rPr>
          <w:lang w:val="en-US"/>
        </w:rPr>
        <w:t xml:space="preserve"> </w:t>
      </w:r>
      <w:r>
        <w:rPr>
          <w:lang w:val="en-US"/>
        </w:rPr>
        <w:t>functions</w:t>
      </w:r>
      <w:r w:rsidRPr="008678AC">
        <w:rPr>
          <w:lang w:val="en-US"/>
        </w:rPr>
        <w:t xml:space="preserve"> </w:t>
      </w:r>
      <w:r>
        <w:rPr>
          <w:lang w:val="en-US"/>
        </w:rPr>
        <w:t>allow</w:t>
      </w:r>
      <w:r w:rsidRPr="008678AC">
        <w:rPr>
          <w:lang w:val="en-US"/>
        </w:rPr>
        <w:t xml:space="preserve"> </w:t>
      </w:r>
      <w:r>
        <w:rPr>
          <w:lang w:val="en-US"/>
        </w:rPr>
        <w:t>assessment</w:t>
      </w:r>
      <w:r w:rsidRPr="008678AC">
        <w:rPr>
          <w:lang w:val="en-US"/>
        </w:rPr>
        <w:t xml:space="preserve"> </w:t>
      </w:r>
      <w:r>
        <w:rPr>
          <w:lang w:val="en-US"/>
        </w:rPr>
        <w:t>of</w:t>
      </w:r>
      <w:r w:rsidRPr="008678AC">
        <w:rPr>
          <w:lang w:val="en-US"/>
        </w:rPr>
        <w:t xml:space="preserve"> </w:t>
      </w:r>
      <w:r>
        <w:rPr>
          <w:lang w:val="en-US"/>
        </w:rPr>
        <w:t>the</w:t>
      </w:r>
      <w:r w:rsidRPr="008678AC">
        <w:rPr>
          <w:lang w:val="en-US"/>
        </w:rPr>
        <w:t xml:space="preserve"> </w:t>
      </w:r>
      <w:r>
        <w:rPr>
          <w:lang w:val="en-US"/>
        </w:rPr>
        <w:t>spectrometric setup count-rate during various fusion device operating conditions. This</w:t>
      </w:r>
      <w:r w:rsidRPr="006600D9">
        <w:rPr>
          <w:lang w:val="en-US"/>
        </w:rPr>
        <w:t xml:space="preserve">, </w:t>
      </w:r>
      <w:r>
        <w:rPr>
          <w:lang w:val="en-US"/>
        </w:rPr>
        <w:t>in</w:t>
      </w:r>
      <w:r w:rsidRPr="006600D9">
        <w:rPr>
          <w:lang w:val="en-US"/>
        </w:rPr>
        <w:t xml:space="preserve"> </w:t>
      </w:r>
      <w:r>
        <w:rPr>
          <w:lang w:val="en-US"/>
        </w:rPr>
        <w:t>turn</w:t>
      </w:r>
      <w:r w:rsidRPr="006600D9">
        <w:rPr>
          <w:lang w:val="en-US"/>
        </w:rPr>
        <w:t xml:space="preserve">, </w:t>
      </w:r>
      <w:r>
        <w:rPr>
          <w:lang w:val="en-US"/>
        </w:rPr>
        <w:t xml:space="preserve">allows for verifying the limitations of the plasma parameter reconstruction. </w:t>
      </w:r>
    </w:p>
    <w:p w:rsidR="00E9427C" w:rsidRPr="007D7458" w:rsidRDefault="00E9427C" w:rsidP="00E9427C">
      <w:pPr>
        <w:pStyle w:val="Zv-bodyreport"/>
        <w:rPr>
          <w:lang w:val="en-US"/>
        </w:rPr>
      </w:pPr>
      <w:r>
        <w:rPr>
          <w:lang w:val="en-US"/>
        </w:rPr>
        <w:t>Current</w:t>
      </w:r>
      <w:r w:rsidRPr="007D7458">
        <w:rPr>
          <w:lang w:val="en-US"/>
        </w:rPr>
        <w:t xml:space="preserve"> </w:t>
      </w:r>
      <w:r>
        <w:rPr>
          <w:lang w:val="en-US"/>
        </w:rPr>
        <w:t>research</w:t>
      </w:r>
      <w:r w:rsidRPr="007D7458">
        <w:rPr>
          <w:lang w:val="en-US"/>
        </w:rPr>
        <w:t xml:space="preserve"> </w:t>
      </w:r>
      <w:r>
        <w:rPr>
          <w:lang w:val="en-US"/>
        </w:rPr>
        <w:t>is</w:t>
      </w:r>
      <w:r w:rsidRPr="007D7458">
        <w:rPr>
          <w:lang w:val="en-US"/>
        </w:rPr>
        <w:t xml:space="preserve"> </w:t>
      </w:r>
      <w:r>
        <w:rPr>
          <w:lang w:val="en-US"/>
        </w:rPr>
        <w:t>supported</w:t>
      </w:r>
      <w:r w:rsidRPr="007D7458">
        <w:rPr>
          <w:lang w:val="en-US"/>
        </w:rPr>
        <w:t xml:space="preserve"> </w:t>
      </w:r>
      <w:r>
        <w:rPr>
          <w:lang w:val="en-US"/>
        </w:rPr>
        <w:t>under</w:t>
      </w:r>
      <w:r w:rsidRPr="007D7458">
        <w:rPr>
          <w:lang w:val="en-US"/>
        </w:rPr>
        <w:t xml:space="preserve"> </w:t>
      </w:r>
      <w:r>
        <w:rPr>
          <w:lang w:val="en-US"/>
        </w:rPr>
        <w:t>the</w:t>
      </w:r>
      <w:r w:rsidRPr="007D7458">
        <w:rPr>
          <w:lang w:val="en-US"/>
        </w:rPr>
        <w:t xml:space="preserve"> </w:t>
      </w:r>
      <w:r>
        <w:rPr>
          <w:lang w:val="en-US"/>
        </w:rPr>
        <w:t>State</w:t>
      </w:r>
      <w:r w:rsidRPr="007D7458">
        <w:rPr>
          <w:lang w:val="en-US"/>
        </w:rPr>
        <w:t xml:space="preserve"> </w:t>
      </w:r>
      <w:r>
        <w:rPr>
          <w:lang w:val="en-US"/>
        </w:rPr>
        <w:t>Contract</w:t>
      </w:r>
      <w:r w:rsidRPr="007D7458">
        <w:rPr>
          <w:lang w:val="en-US"/>
        </w:rPr>
        <w:t xml:space="preserve"> № </w:t>
      </w:r>
      <w:r w:rsidRPr="00EF299A">
        <w:t>Н</w:t>
      </w:r>
      <w:r w:rsidRPr="007D7458">
        <w:rPr>
          <w:lang w:val="en-US"/>
        </w:rPr>
        <w:t>.4</w:t>
      </w:r>
      <w:r w:rsidRPr="00EF299A">
        <w:t>а</w:t>
      </w:r>
      <w:r w:rsidRPr="007D7458">
        <w:rPr>
          <w:lang w:val="en-US"/>
        </w:rPr>
        <w:t xml:space="preserve">.241.19.19.1009 </w:t>
      </w:r>
      <w:r>
        <w:rPr>
          <w:lang w:val="en-US"/>
        </w:rPr>
        <w:t xml:space="preserve">contract of </w:t>
      </w:r>
      <w:r>
        <w:rPr>
          <w:lang w:val="en-US"/>
        </w:rPr>
        <w:br/>
        <w:t>the 26</w:t>
      </w:r>
      <w:r w:rsidRPr="007D7458">
        <w:rPr>
          <w:vertAlign w:val="superscript"/>
          <w:lang w:val="en-US"/>
        </w:rPr>
        <w:t>th</w:t>
      </w:r>
      <w:r>
        <w:rPr>
          <w:lang w:val="en-US"/>
        </w:rPr>
        <w:t xml:space="preserve"> of December 2018.</w:t>
      </w:r>
    </w:p>
    <w:p w:rsidR="00E9427C" w:rsidRPr="00211FFF" w:rsidRDefault="00E9427C" w:rsidP="00E9427C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9427C" w:rsidRPr="00FF5FBA" w:rsidRDefault="00E9427C" w:rsidP="00E9427C">
      <w:pPr>
        <w:pStyle w:val="Zv-References-en"/>
      </w:pPr>
      <w:r w:rsidRPr="00FF5FBA">
        <w:t>J. Allison et al., “Recent developments in GEANT4,” Nucl. Instruments Methods Phys. Res. Sect. A Accel. Spectrometers, Detect. Assoc. Equip., vol. 835, pp. 186–225, Nov. 2016.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EB" w:rsidRDefault="001507EB">
      <w:r>
        <w:separator/>
      </w:r>
    </w:p>
  </w:endnote>
  <w:endnote w:type="continuationSeparator" w:id="0">
    <w:p w:rsidR="001507EB" w:rsidRDefault="00150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00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00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09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EB" w:rsidRDefault="001507EB">
      <w:r>
        <w:separator/>
      </w:r>
    </w:p>
  </w:footnote>
  <w:footnote w:type="continuationSeparator" w:id="0">
    <w:p w:rsidR="001507EB" w:rsidRDefault="001507EB">
      <w:r>
        <w:continuationSeparator/>
      </w:r>
    </w:p>
  </w:footnote>
  <w:footnote w:id="1">
    <w:p w:rsidR="00095061" w:rsidRPr="00095061" w:rsidRDefault="00095061">
      <w:pPr>
        <w:pStyle w:val="a8"/>
        <w:rPr>
          <w:sz w:val="22"/>
          <w:szCs w:val="22"/>
          <w:lang w:val="en-US"/>
        </w:rPr>
      </w:pPr>
      <w:r w:rsidRPr="00095061">
        <w:rPr>
          <w:rStyle w:val="aa"/>
          <w:sz w:val="22"/>
          <w:szCs w:val="22"/>
          <w:lang w:val="en-US"/>
        </w:rPr>
        <w:t>*)</w:t>
      </w:r>
      <w:r w:rsidRPr="00095061">
        <w:rPr>
          <w:sz w:val="22"/>
          <w:szCs w:val="22"/>
          <w:lang w:val="en-US"/>
        </w:rPr>
        <w:t xml:space="preserve">  </w:t>
      </w:r>
      <w:hyperlink r:id="rId1" w:history="1">
        <w:r w:rsidRPr="0080009A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45000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07EB"/>
    <w:rsid w:val="00043701"/>
    <w:rsid w:val="00095061"/>
    <w:rsid w:val="000C657D"/>
    <w:rsid w:val="000C7078"/>
    <w:rsid w:val="000D76E9"/>
    <w:rsid w:val="000E495B"/>
    <w:rsid w:val="001507E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50003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009A"/>
    <w:rsid w:val="00802D35"/>
    <w:rsid w:val="008306AF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D95B4F"/>
    <w:rsid w:val="00E118BE"/>
    <w:rsid w:val="00E7021A"/>
    <w:rsid w:val="00E87733"/>
    <w:rsid w:val="00E9427C"/>
    <w:rsid w:val="00EE371E"/>
    <w:rsid w:val="00EF07A9"/>
    <w:rsid w:val="00F26FD7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9427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9506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95061"/>
  </w:style>
  <w:style w:type="character" w:styleId="aa">
    <w:name w:val="footnote reference"/>
    <w:basedOn w:val="a0"/>
    <w:rsid w:val="000950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ormilitsyn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ru/IT-Kormilitsy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9CDF2-D8C4-4773-B488-B7346BDF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5</TotalTime>
  <Pages>1</Pages>
  <Words>237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OF NON-ORGANIC SCINTILLATORS TO DD-NEUTRON FLUX MONITORING</dc:title>
  <dc:creator>sato</dc:creator>
  <cp:lastModifiedBy>Сатунин</cp:lastModifiedBy>
  <cp:revision>3</cp:revision>
  <cp:lastPrinted>1601-01-01T00:00:00Z</cp:lastPrinted>
  <dcterms:created xsi:type="dcterms:W3CDTF">2020-02-27T10:49:00Z</dcterms:created>
  <dcterms:modified xsi:type="dcterms:W3CDTF">2020-04-30T15:31:00Z</dcterms:modified>
</cp:coreProperties>
</file>