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A1" w:rsidRPr="004868A6" w:rsidRDefault="006A35A1" w:rsidP="006A35A1">
      <w:pPr>
        <w:pStyle w:val="Zv-Titlereport"/>
      </w:pPr>
      <w:r>
        <w:t xml:space="preserve">Моделирование вероятности переходов </w:t>
      </w:r>
      <w:r w:rsidRPr="002B545B">
        <w:t>ионов вольфрама</w:t>
      </w:r>
      <w:r>
        <w:t xml:space="preserve"> в рамках статистической теории</w:t>
      </w:r>
      <w:r w:rsidR="004868A6" w:rsidRPr="004868A6">
        <w:t xml:space="preserve"> </w:t>
      </w:r>
      <w:r w:rsidR="004868A6">
        <w:rPr>
          <w:rStyle w:val="aa"/>
        </w:rPr>
        <w:footnoteReference w:customMarkFollows="1" w:id="1"/>
        <w:t>*)</w:t>
      </w:r>
    </w:p>
    <w:p w:rsidR="006A35A1" w:rsidRPr="004868A6" w:rsidRDefault="006A35A1" w:rsidP="006A35A1">
      <w:pPr>
        <w:pStyle w:val="Zv-Author"/>
        <w:rPr>
          <w:lang w:val="en-US"/>
        </w:rPr>
      </w:pPr>
      <w:r>
        <w:t>Демура</w:t>
      </w:r>
      <w:r w:rsidRPr="004868A6">
        <w:rPr>
          <w:lang w:val="en-US"/>
        </w:rPr>
        <w:t xml:space="preserve"> </w:t>
      </w:r>
      <w:r>
        <w:t>А</w:t>
      </w:r>
      <w:r w:rsidRPr="004868A6">
        <w:rPr>
          <w:lang w:val="en-US"/>
        </w:rPr>
        <w:t>.</w:t>
      </w:r>
      <w:r>
        <w:t>В</w:t>
      </w:r>
      <w:r w:rsidRPr="004868A6">
        <w:rPr>
          <w:lang w:val="en-US"/>
        </w:rPr>
        <w:t xml:space="preserve">., </w:t>
      </w:r>
      <w:r w:rsidRPr="0071247D">
        <w:rPr>
          <w:u w:val="single"/>
        </w:rPr>
        <w:t>Леонтьев</w:t>
      </w:r>
      <w:r w:rsidRPr="004868A6">
        <w:rPr>
          <w:u w:val="single"/>
          <w:lang w:val="en-US"/>
        </w:rPr>
        <w:t xml:space="preserve"> </w:t>
      </w:r>
      <w:r w:rsidRPr="0071247D">
        <w:rPr>
          <w:u w:val="single"/>
        </w:rPr>
        <w:t>Д</w:t>
      </w:r>
      <w:r w:rsidRPr="004868A6">
        <w:rPr>
          <w:u w:val="single"/>
          <w:lang w:val="en-US"/>
        </w:rPr>
        <w:t>.</w:t>
      </w:r>
      <w:r w:rsidRPr="0071247D">
        <w:rPr>
          <w:u w:val="single"/>
        </w:rPr>
        <w:t>С</w:t>
      </w:r>
      <w:r w:rsidRPr="004868A6">
        <w:rPr>
          <w:u w:val="single"/>
          <w:lang w:val="en-US"/>
        </w:rPr>
        <w:t>.</w:t>
      </w:r>
      <w:r w:rsidRPr="004868A6">
        <w:rPr>
          <w:lang w:val="en-US"/>
        </w:rPr>
        <w:t xml:space="preserve">, </w:t>
      </w:r>
      <w:r>
        <w:t>Лисица</w:t>
      </w:r>
      <w:r w:rsidRPr="004868A6">
        <w:rPr>
          <w:lang w:val="en-US"/>
        </w:rPr>
        <w:t xml:space="preserve"> </w:t>
      </w:r>
      <w:r>
        <w:t>В</w:t>
      </w:r>
      <w:r w:rsidRPr="004868A6">
        <w:rPr>
          <w:lang w:val="en-US"/>
        </w:rPr>
        <w:t>.</w:t>
      </w:r>
      <w:r>
        <w:t>С</w:t>
      </w:r>
      <w:r w:rsidRPr="004868A6">
        <w:rPr>
          <w:lang w:val="en-US"/>
        </w:rPr>
        <w:t xml:space="preserve">., </w:t>
      </w:r>
      <w:r>
        <w:t>Шурыгин</w:t>
      </w:r>
      <w:r w:rsidRPr="004868A6">
        <w:rPr>
          <w:lang w:val="en-US"/>
        </w:rPr>
        <w:t xml:space="preserve"> </w:t>
      </w:r>
      <w:r>
        <w:t>В</w:t>
      </w:r>
      <w:r w:rsidRPr="004868A6">
        <w:rPr>
          <w:lang w:val="en-US"/>
        </w:rPr>
        <w:t>.</w:t>
      </w:r>
      <w:r>
        <w:t>А</w:t>
      </w:r>
      <w:r w:rsidRPr="004868A6">
        <w:rPr>
          <w:lang w:val="en-US"/>
        </w:rPr>
        <w:t>.</w:t>
      </w:r>
    </w:p>
    <w:p w:rsidR="006A35A1" w:rsidRPr="002945AF" w:rsidRDefault="006A35A1" w:rsidP="006A35A1">
      <w:pPr>
        <w:pStyle w:val="Zv-Organization"/>
      </w:pPr>
      <w:r>
        <w:t xml:space="preserve">НИЦ «Курчатовский институт», </w:t>
      </w:r>
      <w:hyperlink r:id="rId8" w:history="1">
        <w:r w:rsidRPr="00174CAD">
          <w:rPr>
            <w:rStyle w:val="a7"/>
            <w:lang w:val="en-US"/>
          </w:rPr>
          <w:t>leontievdmitiy</w:t>
        </w:r>
        <w:r w:rsidRPr="002945AF">
          <w:rPr>
            <w:rStyle w:val="a7"/>
          </w:rPr>
          <w:t>@</w:t>
        </w:r>
        <w:r w:rsidRPr="00174CAD">
          <w:rPr>
            <w:rStyle w:val="a7"/>
            <w:lang w:val="en-US"/>
          </w:rPr>
          <w:t>gmail</w:t>
        </w:r>
        <w:r w:rsidRPr="002945AF">
          <w:rPr>
            <w:rStyle w:val="a7"/>
          </w:rPr>
          <w:t>.</w:t>
        </w:r>
        <w:r w:rsidRPr="00174CAD">
          <w:rPr>
            <w:rStyle w:val="a7"/>
            <w:lang w:val="en-US"/>
          </w:rPr>
          <w:t>com</w:t>
        </w:r>
      </w:hyperlink>
    </w:p>
    <w:p w:rsidR="006A35A1" w:rsidRDefault="006A35A1" w:rsidP="006A35A1">
      <w:pPr>
        <w:pStyle w:val="Zv-bodyreport"/>
      </w:pPr>
      <w:r>
        <w:t xml:space="preserve">В современных термоядерных установках в качестве конструкционных материалов используется вольфрам, который неизбежно попадет в разряд плазмы. Из-за большого зарядового числа радиационные потери плазмы на примеси вольфрама достаточно велики, что может привести к коллапсу и срыву разряда </w:t>
      </w:r>
      <w:r w:rsidRPr="003F6319">
        <w:t>[</w:t>
      </w:r>
      <w:r>
        <w:t>1</w:t>
      </w:r>
      <w:r w:rsidRPr="003F6319">
        <w:t>].</w:t>
      </w:r>
      <w:r>
        <w:t xml:space="preserve"> Поэтому проблема мониторинга плотности вольфрама является важным пунктом в диагностике плазмы современных токамаков и стеллараторов. </w:t>
      </w:r>
    </w:p>
    <w:p w:rsidR="006A35A1" w:rsidRDefault="006A35A1" w:rsidP="006A35A1">
      <w:pPr>
        <w:pStyle w:val="Zv-bodyreport"/>
      </w:pPr>
      <w:r>
        <w:t xml:space="preserve">При рабочих электронных температурах в термоядерных установках (порядка нескольких кэВ) излучение плазмы от ионов вольфрама образует квазиконтинуум </w:t>
      </w:r>
      <w:r w:rsidRPr="00862B3E">
        <w:t>[</w:t>
      </w:r>
      <w:r>
        <w:t>2</w:t>
      </w:r>
      <w:r w:rsidRPr="00862B3E">
        <w:t>]</w:t>
      </w:r>
      <w:r>
        <w:t>, сформированный линиями переходов 4</w:t>
      </w:r>
      <w:r>
        <w:rPr>
          <w:lang w:val="en-US"/>
        </w:rPr>
        <w:t>d</w:t>
      </w:r>
      <w:r>
        <w:t>-4</w:t>
      </w:r>
      <w:r>
        <w:rPr>
          <w:lang w:val="en-US"/>
        </w:rPr>
        <w:t>f</w:t>
      </w:r>
      <w:r w:rsidRPr="00862B3E">
        <w:t xml:space="preserve"> и 4</w:t>
      </w:r>
      <w:r>
        <w:rPr>
          <w:lang w:val="en-US"/>
        </w:rPr>
        <w:t>p</w:t>
      </w:r>
      <w:r w:rsidRPr="00862B3E">
        <w:t>-</w:t>
      </w:r>
      <w:r>
        <w:t>4</w:t>
      </w:r>
      <w:r>
        <w:rPr>
          <w:lang w:val="en-US"/>
        </w:rPr>
        <w:t>d</w:t>
      </w:r>
      <w:r w:rsidRPr="00862B3E">
        <w:t xml:space="preserve">. </w:t>
      </w:r>
      <w:r>
        <w:t>Цель работы - получить в рамках статистической модели огибающие величин вероятностей массива</w:t>
      </w:r>
      <w:r w:rsidRPr="00D53A9A">
        <w:t xml:space="preserve"> </w:t>
      </w:r>
      <w:r>
        <w:t xml:space="preserve">спектральных </w:t>
      </w:r>
      <w:r w:rsidRPr="00D53A9A">
        <w:t>линий</w:t>
      </w:r>
      <w:r>
        <w:t>, рассчитанных с помощью квантовомеханических кодов</w:t>
      </w:r>
      <w:r w:rsidRPr="00946F4F">
        <w:t xml:space="preserve"> </w:t>
      </w:r>
      <w:r w:rsidRPr="00866A33">
        <w:t>в работ</w:t>
      </w:r>
      <w:r>
        <w:t>е</w:t>
      </w:r>
      <w:r w:rsidRPr="00866A33">
        <w:t xml:space="preserve"> [</w:t>
      </w:r>
      <w:r>
        <w:t>2</w:t>
      </w:r>
      <w:r w:rsidRPr="00866A33">
        <w:t>]</w:t>
      </w:r>
      <w:r>
        <w:t xml:space="preserve"> и представленных</w:t>
      </w:r>
      <w:r w:rsidRPr="00866A33">
        <w:t xml:space="preserve"> в виде дельтаобразных распределений по длинам волн </w:t>
      </w:r>
      <w:r w:rsidRPr="006B0307">
        <w:rPr>
          <w:i/>
          <w:iCs/>
          <w:lang w:val="en-US"/>
        </w:rPr>
        <w:t>g</w:t>
      </w:r>
      <w:r w:rsidRPr="006B0307">
        <w:rPr>
          <w:i/>
          <w:iCs/>
        </w:rPr>
        <w:t>А</w:t>
      </w:r>
      <w:r w:rsidRPr="00866A33">
        <w:t>(</w:t>
      </w:r>
      <w:r w:rsidRPr="00866A33">
        <w:rPr>
          <w:i/>
          <w:iCs/>
        </w:rPr>
        <w:t>λ</w:t>
      </w:r>
      <w:r w:rsidRPr="00866A33">
        <w:t>) для различных электронных конфигураций</w:t>
      </w:r>
      <w:r>
        <w:t xml:space="preserve">. </w:t>
      </w:r>
    </w:p>
    <w:p w:rsidR="006A35A1" w:rsidRPr="006B0307" w:rsidRDefault="006A35A1" w:rsidP="006A35A1">
      <w:pPr>
        <w:pStyle w:val="Zv-bodyreport"/>
      </w:pPr>
      <w:r>
        <w:t>В статистической модели предполагается, что возбуждение ионов, как и излучение, носит коллективный характер и возникает с плазменными частотами, определяемыми локальным распределением электронной плотности в ионе</w:t>
      </w:r>
      <w:r w:rsidRPr="007065AB">
        <w:t xml:space="preserve"> </w:t>
      </w:r>
      <w:r w:rsidRPr="00BA5ED3">
        <w:rPr>
          <w:position w:val="-32"/>
        </w:rPr>
        <w:object w:dxaOrig="19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9.25pt" o:ole="">
            <v:imagedata r:id="rId9" o:title=""/>
          </v:shape>
          <o:OLEObject Type="Embed" ProgID="Equation.DSMT4" ShapeID="_x0000_i1025" DrawAspect="Content" ObjectID="_1649859371" r:id="rId10"/>
        </w:object>
      </w:r>
      <w:r w:rsidRPr="007065AB">
        <w:t xml:space="preserve">, </w:t>
      </w:r>
      <w:r>
        <w:t xml:space="preserve">где </w:t>
      </w:r>
      <w:r w:rsidRPr="007065AB">
        <w:rPr>
          <w:i/>
        </w:rPr>
        <w:t xml:space="preserve"> </w:t>
      </w:r>
      <w:r w:rsidRPr="007065AB">
        <w:rPr>
          <w:i/>
          <w:lang w:val="en-US"/>
        </w:rPr>
        <w:t>e</w:t>
      </w:r>
      <w:r w:rsidRPr="007065AB">
        <w:rPr>
          <w:i/>
        </w:rPr>
        <w:t xml:space="preserve"> </w:t>
      </w:r>
      <w:r w:rsidRPr="007065AB">
        <w:t xml:space="preserve">– заряд электрона, </w:t>
      </w:r>
      <w:r w:rsidRPr="007065AB">
        <w:rPr>
          <w:i/>
          <w:lang w:val="en-US"/>
        </w:rPr>
        <w:t>m</w:t>
      </w:r>
      <w:r w:rsidRPr="007065AB">
        <w:rPr>
          <w:i/>
          <w:vertAlign w:val="subscript"/>
          <w:lang w:val="en-US"/>
        </w:rPr>
        <w:t>e</w:t>
      </w:r>
      <w:r w:rsidRPr="007065AB">
        <w:rPr>
          <w:i/>
          <w:vertAlign w:val="subscript"/>
        </w:rPr>
        <w:t xml:space="preserve"> </w:t>
      </w:r>
      <w:r w:rsidRPr="007065AB">
        <w:t xml:space="preserve">– его масса, </w:t>
      </w:r>
      <w:r w:rsidRPr="007065AB">
        <w:rPr>
          <w:i/>
          <w:lang w:val="en-US"/>
        </w:rPr>
        <w:t>n</w:t>
      </w:r>
      <w:r w:rsidRPr="007065AB">
        <w:rPr>
          <w:i/>
        </w:rPr>
        <w:t>(</w:t>
      </w:r>
      <w:r w:rsidRPr="007065AB">
        <w:rPr>
          <w:i/>
          <w:lang w:val="en-US"/>
        </w:rPr>
        <w:t>r</w:t>
      </w:r>
      <w:r w:rsidRPr="007065AB">
        <w:rPr>
          <w:i/>
        </w:rPr>
        <w:t xml:space="preserve">) </w:t>
      </w:r>
      <w:r w:rsidRPr="007065AB">
        <w:t>– распределение электронной плотности.</w:t>
      </w:r>
      <w:r>
        <w:t xml:space="preserve"> Также, используя известное правило суммирования Райхе-Куна, можно связать </w:t>
      </w:r>
      <w:r w:rsidRPr="00BA5ED3">
        <w:t xml:space="preserve">эффективные силы осцилляторов </w:t>
      </w:r>
      <w:r w:rsidRPr="00BA5ED3">
        <w:rPr>
          <w:i/>
        </w:rPr>
        <w:t>f</w:t>
      </w:r>
      <w:r w:rsidRPr="00BA5ED3">
        <w:rPr>
          <w:i/>
          <w:vertAlign w:val="subscript"/>
        </w:rPr>
        <w:t>ij</w:t>
      </w:r>
      <w:r>
        <w:rPr>
          <w:i/>
          <w:vertAlign w:val="subscript"/>
        </w:rPr>
        <w:t xml:space="preserve"> </w:t>
      </w:r>
      <w:r>
        <w:rPr>
          <w:iCs/>
        </w:rPr>
        <w:t xml:space="preserve">с </w:t>
      </w:r>
      <w:r w:rsidRPr="007065AB">
        <w:rPr>
          <w:iCs/>
        </w:rPr>
        <w:t>распределением электронной плотности</w:t>
      </w:r>
      <w:r>
        <w:rPr>
          <w:iCs/>
        </w:rPr>
        <w:t xml:space="preserve"> </w:t>
      </w:r>
      <w:r w:rsidRPr="00BA5ED3">
        <w:rPr>
          <w:i/>
        </w:rPr>
        <w:t>f</w:t>
      </w:r>
      <w:r w:rsidRPr="00BA5ED3">
        <w:rPr>
          <w:i/>
          <w:vertAlign w:val="subscript"/>
        </w:rPr>
        <w:t>ij</w:t>
      </w:r>
      <w:r w:rsidRPr="00BA5ED3">
        <w:t>=</w:t>
      </w:r>
      <w:r w:rsidRPr="00BA5ED3">
        <w:rPr>
          <w:i/>
        </w:rPr>
        <w:t>4</w:t>
      </w:r>
      <w:r w:rsidRPr="00BA5ED3">
        <w:rPr>
          <w:i/>
        </w:rPr>
        <w:sym w:font="Symbol" w:char="F070"/>
      </w:r>
      <w:r w:rsidRPr="00BA5ED3">
        <w:rPr>
          <w:i/>
        </w:rPr>
        <w:t>n(r)r</w:t>
      </w:r>
      <w:r w:rsidRPr="00BA5ED3">
        <w:rPr>
          <w:iCs/>
          <w:vertAlign w:val="superscript"/>
        </w:rPr>
        <w:t>2</w:t>
      </w:r>
      <w:r w:rsidRPr="00BA5ED3">
        <w:rPr>
          <w:i/>
        </w:rPr>
        <w:t>dr</w:t>
      </w:r>
      <w:r w:rsidRPr="00BA5ED3">
        <w:t xml:space="preserve">, </w:t>
      </w:r>
      <w:r>
        <w:rPr>
          <w:iCs/>
        </w:rPr>
        <w:t xml:space="preserve">с нормировкой на число электронов на рассматриваемой оболочке. Таким образом, в статистическом приближении скорости радиационно-столкновительных процессов являются функционалами распределения локальной электронной плотности в ионе, что допускает их универсальное описание </w:t>
      </w:r>
      <w:r w:rsidRPr="007065AB">
        <w:rPr>
          <w:iCs/>
        </w:rPr>
        <w:t>[</w:t>
      </w:r>
      <w:r w:rsidRPr="005E0F86">
        <w:rPr>
          <w:iCs/>
        </w:rPr>
        <w:t>3</w:t>
      </w:r>
      <w:r w:rsidRPr="007065AB">
        <w:rPr>
          <w:iCs/>
        </w:rPr>
        <w:t>]</w:t>
      </w:r>
      <w:r>
        <w:rPr>
          <w:iCs/>
        </w:rPr>
        <w:t xml:space="preserve">.  Использовано распределение электронной плотности Слэтера </w:t>
      </w:r>
      <w:r w:rsidRPr="00BA5ED3">
        <w:rPr>
          <w:position w:val="-12"/>
        </w:rPr>
        <w:object w:dxaOrig="1719" w:dyaOrig="380">
          <v:shape id="_x0000_i1026" type="#_x0000_t75" style="width:67.5pt;height:17.25pt" o:ole="">
            <v:imagedata r:id="rId11" o:title=""/>
          </v:shape>
          <o:OLEObject Type="Embed" ProgID="Equation.DSMT4" ShapeID="_x0000_i1026" DrawAspect="Content" ObjectID="_1649859372" r:id="rId12"/>
        </w:object>
      </w:r>
      <w:r>
        <w:t xml:space="preserve">, </w:t>
      </w:r>
      <w:r w:rsidRPr="00BA5ED3">
        <w:t xml:space="preserve">где </w:t>
      </w:r>
      <w:r w:rsidRPr="00BA5ED3">
        <w:rPr>
          <w:color w:val="000000"/>
        </w:rPr>
        <w:t xml:space="preserve">нормировочная константа </w:t>
      </w:r>
      <w:r w:rsidRPr="00BA5ED3">
        <w:rPr>
          <w:i/>
          <w:color w:val="000000"/>
        </w:rPr>
        <w:t>N</w:t>
      </w:r>
      <w:r w:rsidRPr="00BA5ED3">
        <w:rPr>
          <w:i/>
          <w:color w:val="000000"/>
          <w:vertAlign w:val="subscript"/>
        </w:rPr>
        <w:t>Sl</w:t>
      </w:r>
      <w:r w:rsidRPr="00BA5ED3">
        <w:rPr>
          <w:color w:val="000000"/>
        </w:rPr>
        <w:t xml:space="preserve"> </w:t>
      </w:r>
      <w:r>
        <w:rPr>
          <w:color w:val="000000"/>
        </w:rPr>
        <w:t>- число</w:t>
      </w:r>
      <w:r w:rsidRPr="00BA5ED3">
        <w:rPr>
          <w:color w:val="000000"/>
        </w:rPr>
        <w:t xml:space="preserve"> эквивалентных электронов, </w:t>
      </w:r>
      <w:r w:rsidRPr="00C12B69">
        <w:rPr>
          <w:position w:val="-16"/>
          <w:lang w:val="en-US"/>
        </w:rPr>
        <w:object w:dxaOrig="960" w:dyaOrig="440">
          <v:shape id="_x0000_i1027" type="#_x0000_t75" style="width:42pt;height:18.75pt" o:ole="">
            <v:imagedata r:id="rId13" o:title=""/>
          </v:shape>
          <o:OLEObject Type="Embed" ProgID="Equation.DSMT4" ShapeID="_x0000_i1027" DrawAspect="Content" ObjectID="_1649859373" r:id="rId14"/>
        </w:object>
      </w:r>
      <w:r>
        <w:t>,</w:t>
      </w:r>
      <w:r w:rsidRPr="003F2262">
        <w:t xml:space="preserve"> </w:t>
      </w:r>
      <w:r w:rsidRPr="00C12B69">
        <w:rPr>
          <w:i/>
          <w:lang w:val="en-US"/>
        </w:rPr>
        <w:t>I</w:t>
      </w:r>
      <w:r w:rsidRPr="00C12B69">
        <w:rPr>
          <w:i/>
          <w:vertAlign w:val="subscript"/>
          <w:lang w:val="en-US"/>
        </w:rPr>
        <w:t>p</w:t>
      </w:r>
      <w:r>
        <w:t xml:space="preserve"> – потенциал ионизации</w:t>
      </w:r>
      <w:r w:rsidRPr="00BA5ED3">
        <w:t xml:space="preserve"> и </w:t>
      </w:r>
      <w:r w:rsidRPr="00BA5ED3">
        <w:rPr>
          <w:i/>
        </w:rPr>
        <w:t>k</w:t>
      </w:r>
      <w:r>
        <w:t xml:space="preserve"> - </w:t>
      </w:r>
      <w:r w:rsidRPr="00C12B69">
        <w:t>параметр</w:t>
      </w:r>
      <w:r>
        <w:t xml:space="preserve">, определяемый из экспериментальных данных. </w:t>
      </w:r>
      <w:r w:rsidRPr="00D30D8E">
        <w:t xml:space="preserve">Для расчета </w:t>
      </w:r>
      <w:r w:rsidRPr="0090711F">
        <w:t>вероятностей радиационных переходов</w:t>
      </w:r>
      <w:r>
        <w:t xml:space="preserve"> мы отталкиваемся от выражения </w:t>
      </w:r>
      <w:r w:rsidRPr="0090711F">
        <w:t xml:space="preserve">для безразмерной вероятности радиационных переходов </w:t>
      </w:r>
      <w:r w:rsidRPr="00446AD4">
        <w:rPr>
          <w:i/>
          <w:iCs/>
        </w:rPr>
        <w:t>а</w:t>
      </w:r>
      <w:r w:rsidRPr="00D30D8E">
        <w:t>(</w:t>
      </w:r>
      <w:r w:rsidRPr="00446AD4">
        <w:rPr>
          <w:i/>
          <w:iCs/>
        </w:rPr>
        <w:t>ω</w:t>
      </w:r>
      <w:r w:rsidRPr="00D30D8E">
        <w:t>),</w:t>
      </w:r>
      <w:r>
        <w:t xml:space="preserve"> которая выражается через сечение фотопоглощения </w:t>
      </w:r>
      <w:r w:rsidRPr="00C663B9">
        <w:rPr>
          <w:i/>
          <w:iCs/>
        </w:rPr>
        <w:t>σ</w:t>
      </w:r>
      <w:r>
        <w:t>(</w:t>
      </w:r>
      <w:r w:rsidRPr="00C663B9">
        <w:rPr>
          <w:i/>
          <w:iCs/>
        </w:rPr>
        <w:t>ω</w:t>
      </w:r>
      <w:r>
        <w:t>)</w:t>
      </w:r>
      <w:r w:rsidRPr="00D30D8E">
        <w:t xml:space="preserve"> </w:t>
      </w:r>
      <w:r>
        <w:t xml:space="preserve">как </w:t>
      </w:r>
      <w:r w:rsidRPr="0090711F">
        <w:rPr>
          <w:position w:val="-24"/>
        </w:rPr>
        <w:object w:dxaOrig="2380" w:dyaOrig="660">
          <v:shape id="_x0000_i1028" type="#_x0000_t75" style="width:110.25pt;height:31.5pt" o:ole="">
            <v:imagedata r:id="rId15" o:title=""/>
          </v:shape>
          <o:OLEObject Type="Embed" ProgID="Equation.DSMT4" ShapeID="_x0000_i1028" DrawAspect="Content" ObjectID="_1649859374" r:id="rId16"/>
        </w:object>
      </w:r>
      <w:r>
        <w:t xml:space="preserve">. Это сечение </w:t>
      </w:r>
      <w:r w:rsidRPr="000F4D1E">
        <w:rPr>
          <w:i/>
          <w:iCs/>
        </w:rPr>
        <w:t>σ</w:t>
      </w:r>
      <w:r>
        <w:t>(</w:t>
      </w:r>
      <w:r w:rsidRPr="000F4D1E">
        <w:rPr>
          <w:i/>
          <w:iCs/>
        </w:rPr>
        <w:t>ω</w:t>
      </w:r>
      <w:r>
        <w:t>),</w:t>
      </w:r>
      <w:r w:rsidRPr="00D30D8E">
        <w:t xml:space="preserve"> </w:t>
      </w:r>
      <w:r>
        <w:t xml:space="preserve">в свою очередь, может быть рассчитано в статистической модели </w:t>
      </w:r>
      <w:r w:rsidRPr="00C663B9">
        <w:t>[3]</w:t>
      </w:r>
      <w:r>
        <w:t xml:space="preserve">. Тогда, после подстановки </w:t>
      </w:r>
      <w:r w:rsidRPr="000F4D1E">
        <w:rPr>
          <w:i/>
          <w:iCs/>
        </w:rPr>
        <w:t>σ</w:t>
      </w:r>
      <w:r>
        <w:t>(</w:t>
      </w:r>
      <w:r w:rsidRPr="000F4D1E">
        <w:rPr>
          <w:i/>
          <w:iCs/>
        </w:rPr>
        <w:t>ω</w:t>
      </w:r>
      <w:r>
        <w:t>)</w:t>
      </w:r>
      <w:r w:rsidRPr="001C2E0F">
        <w:t xml:space="preserve"> </w:t>
      </w:r>
      <w:r>
        <w:t xml:space="preserve">из </w:t>
      </w:r>
      <w:r w:rsidRPr="001C2E0F">
        <w:t>[3]</w:t>
      </w:r>
      <w:r>
        <w:t xml:space="preserve"> и интегрирования</w:t>
      </w:r>
      <w:r w:rsidRPr="006B0307">
        <w:t xml:space="preserve"> по частоте с переменным верхним пределом (текущее </w:t>
      </w:r>
      <w:r w:rsidRPr="006B0307">
        <w:rPr>
          <w:i/>
          <w:iCs/>
        </w:rPr>
        <w:t>ω</w:t>
      </w:r>
      <w:r w:rsidRPr="006B0307">
        <w:t>)</w:t>
      </w:r>
      <w:r>
        <w:t xml:space="preserve">, получим распределение вероятности переходов в шкале длин волн. Полученный результат, умноженный на </w:t>
      </w:r>
      <w:r w:rsidRPr="003013CC">
        <w:t xml:space="preserve">статистический вес </w:t>
      </w:r>
      <w:r w:rsidRPr="0090711F">
        <w:t>начального</w:t>
      </w:r>
      <w:r w:rsidRPr="003013CC">
        <w:t xml:space="preserve"> состояния </w:t>
      </w:r>
      <w:r w:rsidRPr="003013CC">
        <w:rPr>
          <w:i/>
          <w:iCs/>
        </w:rPr>
        <w:t>g</w:t>
      </w:r>
      <w:r w:rsidRPr="003013CC">
        <w:t>=(2</w:t>
      </w:r>
      <w:r w:rsidRPr="003013CC">
        <w:rPr>
          <w:i/>
          <w:iCs/>
        </w:rPr>
        <w:t>j</w:t>
      </w:r>
      <w:r w:rsidRPr="003013CC">
        <w:t>+1</w:t>
      </w:r>
      <w:r>
        <w:t>), показал хорошее совпадение с данными квантовомеханических расчетов</w:t>
      </w:r>
      <w:r w:rsidRPr="00206F6B">
        <w:t xml:space="preserve"> [2]</w:t>
      </w:r>
      <w:r w:rsidRPr="006B0307">
        <w:t>.</w:t>
      </w:r>
    </w:p>
    <w:p w:rsidR="006A35A1" w:rsidRDefault="006A35A1" w:rsidP="006A35A1">
      <w:pPr>
        <w:pStyle w:val="Zv-TitleReferences-ru"/>
      </w:pPr>
      <w:r>
        <w:t>Литература</w:t>
      </w:r>
    </w:p>
    <w:p w:rsidR="006A35A1" w:rsidRDefault="006A35A1" w:rsidP="006A35A1">
      <w:pPr>
        <w:pStyle w:val="Zv-References-ru"/>
      </w:pPr>
      <w:bookmarkStart w:id="0" w:name="_Hlk25165483"/>
      <w:r w:rsidRPr="00AB5605">
        <w:rPr>
          <w:lang w:val="de-DE"/>
        </w:rPr>
        <w:t xml:space="preserve">Pütterich T., Dux R., Neu R., Bernert M. et al., Plasma Phys. </w:t>
      </w:r>
      <w:r>
        <w:t xml:space="preserve">Control. Fusion </w:t>
      </w:r>
      <w:r w:rsidRPr="004E0DC2">
        <w:rPr>
          <w:b/>
        </w:rPr>
        <w:t>55</w:t>
      </w:r>
      <w:r>
        <w:t xml:space="preserve"> (</w:t>
      </w:r>
      <w:r w:rsidRPr="004E0DC2">
        <w:t>2013</w:t>
      </w:r>
      <w:r>
        <w:t>) 124036</w:t>
      </w:r>
    </w:p>
    <w:p w:rsidR="006A35A1" w:rsidRPr="004868A6" w:rsidRDefault="006A35A1" w:rsidP="006A35A1">
      <w:pPr>
        <w:pStyle w:val="Zv-References-ru"/>
        <w:rPr>
          <w:lang w:val="en-US"/>
        </w:rPr>
      </w:pPr>
      <w:r w:rsidRPr="00AB5605">
        <w:rPr>
          <w:lang w:val="fi-FI"/>
        </w:rPr>
        <w:t xml:space="preserve">Harte C. S., Suzuki C., Kato T., Sakaue H.A. et al., J. Phys. </w:t>
      </w:r>
      <w:r w:rsidRPr="004868A6">
        <w:rPr>
          <w:lang w:val="en-US"/>
        </w:rPr>
        <w:t xml:space="preserve">B: At. Mol. Opt. Phys. </w:t>
      </w:r>
      <w:r w:rsidRPr="004868A6">
        <w:rPr>
          <w:b/>
          <w:lang w:val="en-US"/>
        </w:rPr>
        <w:t>43</w:t>
      </w:r>
      <w:r w:rsidRPr="004868A6">
        <w:rPr>
          <w:lang w:val="en-US"/>
        </w:rPr>
        <w:t xml:space="preserve"> (2010) 205004</w:t>
      </w:r>
    </w:p>
    <w:p w:rsidR="006A35A1" w:rsidRPr="004868A6" w:rsidRDefault="006A35A1" w:rsidP="006A35A1">
      <w:pPr>
        <w:pStyle w:val="Zv-References-ru"/>
        <w:rPr>
          <w:lang w:val="en-US"/>
        </w:rPr>
      </w:pPr>
      <w:r w:rsidRPr="004868A6">
        <w:rPr>
          <w:szCs w:val="24"/>
          <w:lang w:val="en-US"/>
        </w:rPr>
        <w:t xml:space="preserve">Demura A.V., Kadomtsev M.B., Lisitsa V.S., Shurygin V.A. HEDP </w:t>
      </w:r>
      <w:r w:rsidRPr="004868A6">
        <w:rPr>
          <w:b/>
          <w:bCs/>
          <w:szCs w:val="24"/>
          <w:lang w:val="en-US"/>
        </w:rPr>
        <w:t>15</w:t>
      </w:r>
      <w:r w:rsidRPr="004868A6">
        <w:rPr>
          <w:szCs w:val="24"/>
          <w:lang w:val="en-US"/>
        </w:rPr>
        <w:t xml:space="preserve"> (2015) 49</w:t>
      </w:r>
    </w:p>
    <w:bookmarkEnd w:id="0"/>
    <w:p w:rsidR="00654A7B" w:rsidRDefault="00654A7B">
      <w:pPr>
        <w:rPr>
          <w:lang w:val="en-US"/>
        </w:rPr>
      </w:pPr>
    </w:p>
    <w:sectPr w:rsidR="00654A7B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98" w:rsidRDefault="000B5898">
      <w:r>
        <w:separator/>
      </w:r>
    </w:p>
  </w:endnote>
  <w:endnote w:type="continuationSeparator" w:id="0">
    <w:p w:rsidR="000B5898" w:rsidRDefault="000B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45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45C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5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98" w:rsidRDefault="000B5898">
      <w:r>
        <w:separator/>
      </w:r>
    </w:p>
  </w:footnote>
  <w:footnote w:type="continuationSeparator" w:id="0">
    <w:p w:rsidR="000B5898" w:rsidRDefault="000B5898">
      <w:r>
        <w:continuationSeparator/>
      </w:r>
    </w:p>
  </w:footnote>
  <w:footnote w:id="1">
    <w:p w:rsidR="004868A6" w:rsidRPr="004868A6" w:rsidRDefault="004868A6">
      <w:pPr>
        <w:pStyle w:val="a8"/>
        <w:rPr>
          <w:lang w:val="en-US"/>
        </w:rPr>
      </w:pPr>
      <w:r w:rsidRPr="004868A6">
        <w:rPr>
          <w:rStyle w:val="aa"/>
          <w:sz w:val="22"/>
        </w:rPr>
        <w:t>*)</w:t>
      </w:r>
      <w:r w:rsidRPr="004868A6">
        <w:rPr>
          <w:sz w:val="22"/>
        </w:rPr>
        <w:t xml:space="preserve">  </w:t>
      </w:r>
      <w:hyperlink r:id="rId1" w:history="1">
        <w:r w:rsidRPr="003C05B4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F45C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5898"/>
    <w:rsid w:val="00037DCC"/>
    <w:rsid w:val="00043701"/>
    <w:rsid w:val="000B589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05B4"/>
    <w:rsid w:val="003C1B47"/>
    <w:rsid w:val="00401388"/>
    <w:rsid w:val="00446025"/>
    <w:rsid w:val="00447ABC"/>
    <w:rsid w:val="004868A6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A35A1"/>
    <w:rsid w:val="006F68D0"/>
    <w:rsid w:val="00732A2E"/>
    <w:rsid w:val="007B6378"/>
    <w:rsid w:val="00802D35"/>
    <w:rsid w:val="008E2894"/>
    <w:rsid w:val="0094721E"/>
    <w:rsid w:val="00A132D1"/>
    <w:rsid w:val="00A66876"/>
    <w:rsid w:val="00A71613"/>
    <w:rsid w:val="00AB3459"/>
    <w:rsid w:val="00AF13E4"/>
    <w:rsid w:val="00B622ED"/>
    <w:rsid w:val="00B9584E"/>
    <w:rsid w:val="00BD05EF"/>
    <w:rsid w:val="00BF45C1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6A35A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4868A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868A6"/>
  </w:style>
  <w:style w:type="character" w:styleId="aa">
    <w:name w:val="footnote reference"/>
    <w:basedOn w:val="a0"/>
    <w:rsid w:val="004868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tievdmitiy@gmail.com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F-Leont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6578-F2C4-492F-AE2B-0267BF38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375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ВЕРОЯТНОСТИ ПЕРЕХОДОВ ИОНОВ ВОЛЬФРАМА В РАМКАХ СТАТИСТИЧЕСКОЙ ТЕОРИИ</dc:title>
  <dc:creator>sato</dc:creator>
  <cp:lastModifiedBy>Сатунин</cp:lastModifiedBy>
  <cp:revision>3</cp:revision>
  <cp:lastPrinted>1601-01-01T00:00:00Z</cp:lastPrinted>
  <dcterms:created xsi:type="dcterms:W3CDTF">2020-02-29T18:20:00Z</dcterms:created>
  <dcterms:modified xsi:type="dcterms:W3CDTF">2020-05-01T14:30:00Z</dcterms:modified>
</cp:coreProperties>
</file>