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7D9" w:rsidRPr="00C8288B" w:rsidRDefault="001A07D9" w:rsidP="001A07D9">
      <w:pPr>
        <w:pStyle w:val="Zv-Titlereport"/>
      </w:pPr>
      <w:r>
        <w:t>Оптимизация параметров нейтронного источника на основе открытой ловушки, ограниченных развитием DCLC неустойчивости</w:t>
      </w:r>
      <w:r w:rsidR="00C8288B" w:rsidRPr="00C8288B">
        <w:t xml:space="preserve"> </w:t>
      </w:r>
      <w:r w:rsidR="00C8288B">
        <w:rPr>
          <w:rStyle w:val="aa"/>
        </w:rPr>
        <w:footnoteReference w:customMarkFollows="1" w:id="1"/>
        <w:t>*)</w:t>
      </w:r>
    </w:p>
    <w:p w:rsidR="001A07D9" w:rsidRDefault="001A07D9" w:rsidP="001A07D9">
      <w:pPr>
        <w:pStyle w:val="Zv-Author"/>
      </w:pPr>
      <w:r w:rsidRPr="001A07D9">
        <w:rPr>
          <w:vertAlign w:val="superscript"/>
        </w:rPr>
        <w:t>1,2</w:t>
      </w:r>
      <w:r>
        <w:t xml:space="preserve">Приходько В.В., </w:t>
      </w:r>
      <w:r w:rsidRPr="001A07D9">
        <w:rPr>
          <w:vertAlign w:val="superscript"/>
        </w:rPr>
        <w:t>1,2</w:t>
      </w:r>
      <w:r>
        <w:t xml:space="preserve">Котельников И.А., </w:t>
      </w:r>
      <w:r w:rsidRPr="001A07D9">
        <w:rPr>
          <w:vertAlign w:val="superscript"/>
        </w:rPr>
        <w:t>1,2</w:t>
      </w:r>
      <w:r>
        <w:t>Черноштанов И.С.</w:t>
      </w:r>
    </w:p>
    <w:p w:rsidR="001A07D9" w:rsidRDefault="001A07D9" w:rsidP="00FC5C94">
      <w:pPr>
        <w:pStyle w:val="Zv-Organization"/>
        <w:spacing w:after="180" w:line="235" w:lineRule="auto"/>
      </w:pPr>
      <w:r w:rsidRPr="001A07D9">
        <w:rPr>
          <w:vertAlign w:val="superscript"/>
        </w:rPr>
        <w:t>1</w:t>
      </w:r>
      <w:r>
        <w:t xml:space="preserve">ИЯФ СО РАН, Новосибирск, РФ, </w:t>
      </w:r>
      <w:hyperlink r:id="rId8" w:history="1">
        <w:r w:rsidRPr="0054331D">
          <w:rPr>
            <w:rStyle w:val="a7"/>
          </w:rPr>
          <w:t>V.V.Prikhodko@inp.nsk.su</w:t>
        </w:r>
      </w:hyperlink>
      <w:r w:rsidRPr="001A07D9">
        <w:br/>
      </w:r>
      <w:r w:rsidRPr="001A07D9">
        <w:rPr>
          <w:vertAlign w:val="superscript"/>
        </w:rPr>
        <w:t>2</w:t>
      </w:r>
      <w:r>
        <w:t>НГУ, Новосибирск, РФ</w:t>
      </w:r>
    </w:p>
    <w:p w:rsidR="001A07D9" w:rsidRDefault="001A07D9" w:rsidP="00FC5C94">
      <w:pPr>
        <w:pStyle w:val="Zv-bodyreport"/>
        <w:spacing w:line="230" w:lineRule="auto"/>
      </w:pPr>
      <w:r>
        <w:t>Одним из возможных приложений открытых ловушек является их использование в качестве источников D-T нейтронов в гибридных установках типа «синтез-деление». Важнейшим параметром при таком применении является эффективность производства нейтронов:</w:t>
      </w:r>
    </w:p>
    <w:p w:rsidR="001A07D9" w:rsidRDefault="001A07D9" w:rsidP="00FC5C94">
      <w:pPr>
        <w:pStyle w:val="Zv-formula"/>
        <w:spacing w:line="230" w:lineRule="auto"/>
      </w:pPr>
      <w:r>
        <w:tab/>
      </w:r>
      <w:r>
        <w:rPr>
          <w:i/>
          <w:iCs/>
        </w:rPr>
        <w:t>Q</w:t>
      </w:r>
      <w:r>
        <w:rPr>
          <w:i/>
          <w:iCs/>
          <w:vertAlign w:val="subscript"/>
        </w:rPr>
        <w:t>pl</w:t>
      </w:r>
      <w:r>
        <w:t xml:space="preserve"> = </w:t>
      </w:r>
      <w:r>
        <w:rPr>
          <w:i/>
          <w:iCs/>
        </w:rPr>
        <w:t>P</w:t>
      </w:r>
      <w:r>
        <w:rPr>
          <w:i/>
          <w:iCs/>
          <w:vertAlign w:val="subscript"/>
        </w:rPr>
        <w:t>DT</w:t>
      </w:r>
      <w:r>
        <w:t xml:space="preserve"> / </w:t>
      </w:r>
      <w:r>
        <w:rPr>
          <w:i/>
          <w:iCs/>
        </w:rPr>
        <w:t>P</w:t>
      </w:r>
      <w:r>
        <w:rPr>
          <w:i/>
          <w:iCs/>
          <w:vertAlign w:val="subscript"/>
        </w:rPr>
        <w:t>in</w:t>
      </w:r>
      <w:r>
        <w:t>,</w:t>
      </w:r>
      <w:r>
        <w:tab/>
        <w:t>(1)</w:t>
      </w:r>
    </w:p>
    <w:p w:rsidR="001A07D9" w:rsidRDefault="001A07D9" w:rsidP="00FC5C94">
      <w:pPr>
        <w:pStyle w:val="Zv-bodyreportcont"/>
        <w:spacing w:line="230" w:lineRule="auto"/>
      </w:pPr>
      <w:r>
        <w:t xml:space="preserve">где </w:t>
      </w:r>
      <w:r>
        <w:rPr>
          <w:i/>
          <w:iCs/>
        </w:rPr>
        <w:t>P</w:t>
      </w:r>
      <w:r>
        <w:rPr>
          <w:i/>
          <w:iCs/>
          <w:vertAlign w:val="subscript"/>
        </w:rPr>
        <w:t>in</w:t>
      </w:r>
      <w:r>
        <w:t xml:space="preserve"> — введённая в плазму мощность, а </w:t>
      </w:r>
      <w:r>
        <w:rPr>
          <w:i/>
          <w:iCs/>
        </w:rPr>
        <w:t>P</w:t>
      </w:r>
      <w:r>
        <w:rPr>
          <w:i/>
          <w:iCs/>
          <w:vertAlign w:val="subscript"/>
        </w:rPr>
        <w:t>DT</w:t>
      </w:r>
      <w:r>
        <w:t xml:space="preserve"> — мощность реакций синтеза, приходящаяся на нейтроны. Данная работа является продолжением [1] и нацелена на поиск параметров открытой аксиально-симметричной ловушки, позволяющих достичь максимального значения </w:t>
      </w:r>
      <w:r>
        <w:rPr>
          <w:i/>
          <w:iCs/>
        </w:rPr>
        <w:t>Q</w:t>
      </w:r>
      <w:r>
        <w:rPr>
          <w:i/>
          <w:iCs/>
          <w:vertAlign w:val="subscript"/>
        </w:rPr>
        <w:t>pl</w:t>
      </w:r>
      <w:r>
        <w:t>. Микроустойчивость плазмы в [1] определялась по формуле:</w:t>
      </w:r>
    </w:p>
    <w:p w:rsidR="001A07D9" w:rsidRDefault="001A07D9" w:rsidP="00FC5C94">
      <w:pPr>
        <w:pStyle w:val="Zv-formula"/>
        <w:spacing w:line="230" w:lineRule="auto"/>
      </w:pPr>
      <w:r>
        <w:tab/>
      </w:r>
      <w:r>
        <w:rPr>
          <w:i/>
          <w:iCs/>
        </w:rPr>
        <w:t>K</w:t>
      </w:r>
      <w:r>
        <w:t xml:space="preserve"> = </w:t>
      </w:r>
      <w:r>
        <w:rPr>
          <w:i/>
          <w:iCs/>
        </w:rPr>
        <w:t>t</w:t>
      </w:r>
      <w:r>
        <w:rPr>
          <w:i/>
          <w:iCs/>
          <w:vertAlign w:val="subscript"/>
        </w:rPr>
        <w:t>kin</w:t>
      </w:r>
      <w:r>
        <w:t xml:space="preserve"> / </w:t>
      </w:r>
      <w:r>
        <w:rPr>
          <w:i/>
          <w:iCs/>
        </w:rPr>
        <w:t>t</w:t>
      </w:r>
      <w:r>
        <w:rPr>
          <w:i/>
          <w:iCs/>
          <w:vertAlign w:val="subscript"/>
        </w:rPr>
        <w:t>gd</w:t>
      </w:r>
      <w:r>
        <w:t xml:space="preserve"> &lt; </w:t>
      </w:r>
      <w:bookmarkStart w:id="0" w:name="__DdeLink__81_30406405361"/>
      <w:r>
        <w:rPr>
          <w:i/>
          <w:iCs/>
        </w:rPr>
        <w:t>K</w:t>
      </w:r>
      <w:r>
        <w:rPr>
          <w:i/>
          <w:iCs/>
          <w:vertAlign w:val="subscript"/>
        </w:rPr>
        <w:t>crit</w:t>
      </w:r>
      <w:bookmarkEnd w:id="0"/>
      <w:r>
        <w:t>,</w:t>
      </w:r>
      <w:r>
        <w:tab/>
        <w:t>(2)</w:t>
      </w:r>
    </w:p>
    <w:p w:rsidR="001A07D9" w:rsidRDefault="001A07D9" w:rsidP="00FC5C94">
      <w:pPr>
        <w:pStyle w:val="Zv-bodyreportcont"/>
        <w:spacing w:line="230" w:lineRule="auto"/>
      </w:pPr>
      <w:r>
        <w:t xml:space="preserve">где </w:t>
      </w:r>
      <w:r>
        <w:rPr>
          <w:i/>
          <w:iCs/>
        </w:rPr>
        <w:t>t</w:t>
      </w:r>
      <w:r>
        <w:rPr>
          <w:i/>
          <w:iCs/>
          <w:vertAlign w:val="subscript"/>
        </w:rPr>
        <w:t>kin</w:t>
      </w:r>
      <w:r>
        <w:t xml:space="preserve"> и </w:t>
      </w:r>
      <w:r>
        <w:rPr>
          <w:i/>
          <w:iCs/>
        </w:rPr>
        <w:t>t</w:t>
      </w:r>
      <w:r>
        <w:rPr>
          <w:i/>
          <w:iCs/>
          <w:vertAlign w:val="subscript"/>
        </w:rPr>
        <w:t>gd</w:t>
      </w:r>
      <w:r>
        <w:t xml:space="preserve"> — времена удержания тёплых ионов в кинетическом и газодинамическом режимах, а </w:t>
      </w:r>
      <w:r>
        <w:rPr>
          <w:i/>
          <w:iCs/>
        </w:rPr>
        <w:t>K</w:t>
      </w:r>
      <w:r>
        <w:rPr>
          <w:i/>
          <w:iCs/>
          <w:vertAlign w:val="subscript"/>
        </w:rPr>
        <w:t>crit</w:t>
      </w:r>
      <w:r>
        <w:t xml:space="preserve"> — величина порядка единицы. В данной работе процедура отбора допустимых конфигураций установки включала прямую проверку устойчивости относительно дрейфово-конусной циклотронной (drift-cyclotron loss-cone, DCLC) и двугорбой (double-humped, DH) мод.</w:t>
      </w:r>
    </w:p>
    <w:p w:rsidR="001A07D9" w:rsidRDefault="001A07D9" w:rsidP="00FC5C94">
      <w:pPr>
        <w:pStyle w:val="Zv-bodyreport"/>
        <w:spacing w:line="230" w:lineRule="auto"/>
      </w:pPr>
      <w:r>
        <w:t>Код DOL [2] использовался в качестве основного инструмента численного моделирования. Теоретическая модель, лежащая в его основе, предполагает разделение ионной функции распределения на две части. Первая — это быстрые ионы, имеющие низкую частоту столкновений. Их функция распределения находится из решения кинетического уравнения, усреднённого по периоду продольного движения. Вторая — это тёплые ионы с высокой частотой столкновений. Их удержание описывается уравнениями баланса частиц и энергии.</w:t>
      </w:r>
    </w:p>
    <w:p w:rsidR="001A07D9" w:rsidRDefault="001A07D9" w:rsidP="00FC5C94">
      <w:pPr>
        <w:pStyle w:val="Zv-bodyreport"/>
        <w:spacing w:line="230" w:lineRule="auto"/>
      </w:pPr>
      <w:r>
        <w:t xml:space="preserve">Рассмотрена установка с равным соотношением изотопов дейтерия и трития и продольным профилем магнитного поля близким к «прямоугольной яме» — величина поля почти постоянна в основной ячейке и быстро нарастает около пробок. Магнитное поле в пробках принято равным 25 Т, а расстояние между ними 20 м. Энергия вводится в установку инжекцией атомарных пучков мощностью </w:t>
      </w:r>
      <w:r>
        <w:rPr>
          <w:i/>
          <w:iCs/>
        </w:rPr>
        <w:t>P</w:t>
      </w:r>
      <w:r>
        <w:rPr>
          <w:i/>
          <w:iCs/>
          <w:vertAlign w:val="subscript"/>
        </w:rPr>
        <w:t>in</w:t>
      </w:r>
      <w:r>
        <w:t> = 100 МВт. Устойчивость плазмы проверялась по дисперсионному отношению из работы [3]. Его использование требует приблизить ионные функции распределения суммой гауссовских профилей. Распределение каждой компоненты приближались суммой двух профилей: для быстрых ионов параметры определялись методом наименьших квадратов по рассчитанной функции распределения, для тёплых ионов использовалась оценка степени заполнения конуса потерь.</w:t>
      </w:r>
    </w:p>
    <w:p w:rsidR="001A07D9" w:rsidRDefault="001A07D9" w:rsidP="00FC5C94">
      <w:pPr>
        <w:pStyle w:val="Zv-bodyreport"/>
        <w:spacing w:line="230" w:lineRule="auto"/>
      </w:pPr>
      <w:r>
        <w:t xml:space="preserve">В результате показано, что ограничение (2) качественно верно, а максимальная величина </w:t>
      </w:r>
      <w:r>
        <w:rPr>
          <w:i/>
          <w:iCs/>
        </w:rPr>
        <w:t>Q</w:t>
      </w:r>
      <w:r>
        <w:rPr>
          <w:i/>
          <w:iCs/>
          <w:vertAlign w:val="subscript"/>
        </w:rPr>
        <w:t>pl</w:t>
      </w:r>
      <w:r>
        <w:t xml:space="preserve"> составляет несколько процентов, что соответствует данным прежних расчётов [1].</w:t>
      </w:r>
    </w:p>
    <w:p w:rsidR="001A07D9" w:rsidRPr="0064468E" w:rsidRDefault="001A07D9" w:rsidP="00FC5C94">
      <w:pPr>
        <w:pStyle w:val="Zv-TitleReferences-ru"/>
        <w:spacing w:before="80" w:after="80"/>
      </w:pPr>
      <w:r>
        <w:t>Литература</w:t>
      </w:r>
    </w:p>
    <w:p w:rsidR="001A07D9" w:rsidRPr="001A07D9" w:rsidRDefault="001A07D9" w:rsidP="00FC5C94">
      <w:pPr>
        <w:pStyle w:val="Zv-References-ru"/>
        <w:spacing w:line="233" w:lineRule="auto"/>
        <w:rPr>
          <w:lang w:val="en-US"/>
        </w:rPr>
      </w:pPr>
      <w:r w:rsidRPr="001A07D9">
        <w:rPr>
          <w:lang w:val="en-US"/>
        </w:rPr>
        <w:t>D.V.Yurov, V.V.Prikhodko. Optimization of a mirror-based neutron source using differential evolution algorithm. Nuclear Fusion, v. 56, iss. 12, p. 126003 (2016).</w:t>
      </w:r>
    </w:p>
    <w:p w:rsidR="001A07D9" w:rsidRDefault="001A07D9" w:rsidP="00FC5C94">
      <w:pPr>
        <w:pStyle w:val="Zv-References-ru"/>
        <w:spacing w:line="233" w:lineRule="auto"/>
      </w:pPr>
      <w:r>
        <w:t>Д.В.Юров, В.В.Приходько, Ю.А.Цидулко, "Нестационарная модель для описания осесимметричной открытой ловушки с неравновесной плазмой", Физика плазмы, т. 42, № 3, с. 217-233 (2016).</w:t>
      </w:r>
    </w:p>
    <w:p w:rsidR="00654A7B" w:rsidRDefault="001A07D9" w:rsidP="00FC5C94">
      <w:pPr>
        <w:pStyle w:val="Zv-References-ru"/>
        <w:spacing w:line="233" w:lineRule="auto"/>
        <w:rPr>
          <w:lang w:val="en-US"/>
        </w:rPr>
      </w:pPr>
      <w:bookmarkStart w:id="1" w:name="__DdeLink__560_2451957212"/>
      <w:bookmarkEnd w:id="1"/>
      <w:r w:rsidRPr="001A07D9">
        <w:rPr>
          <w:lang w:val="en-US"/>
        </w:rPr>
        <w:t xml:space="preserve">I.A.Kotelnikov, I.S.Chernoshtanov, V.V.Prikhodko. Electrostatic instabilities in a mirror trap revisited. </w:t>
      </w:r>
      <w:r>
        <w:t>Physics of Plasmas v. 24, p. 122512 (2017).</w:t>
      </w: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15E" w:rsidRDefault="004D515E">
      <w:r>
        <w:separator/>
      </w:r>
    </w:p>
  </w:endnote>
  <w:endnote w:type="continuationSeparator" w:id="0">
    <w:p w:rsidR="004D515E" w:rsidRDefault="004D5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9A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9A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5C9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15E" w:rsidRDefault="004D515E">
      <w:r>
        <w:separator/>
      </w:r>
    </w:p>
  </w:footnote>
  <w:footnote w:type="continuationSeparator" w:id="0">
    <w:p w:rsidR="004D515E" w:rsidRDefault="004D515E">
      <w:r>
        <w:continuationSeparator/>
      </w:r>
    </w:p>
  </w:footnote>
  <w:footnote w:id="1">
    <w:p w:rsidR="00C8288B" w:rsidRPr="00C8288B" w:rsidRDefault="00C8288B">
      <w:pPr>
        <w:pStyle w:val="a8"/>
        <w:rPr>
          <w:lang w:val="en-US"/>
        </w:rPr>
      </w:pPr>
      <w:r w:rsidRPr="00C8288B">
        <w:rPr>
          <w:rStyle w:val="aa"/>
          <w:sz w:val="22"/>
        </w:rPr>
        <w:t>*)</w:t>
      </w:r>
      <w:r w:rsidRPr="00C8288B">
        <w:rPr>
          <w:sz w:val="22"/>
        </w:rPr>
        <w:t xml:space="preserve">  </w:t>
      </w:r>
      <w:hyperlink r:id="rId1" w:history="1">
        <w:r w:rsidRPr="00FC5C94">
          <w:rPr>
            <w:rStyle w:val="a7"/>
            <w:sz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2B69A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15CA6"/>
    <w:multiLevelType w:val="multilevel"/>
    <w:tmpl w:val="50484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515E"/>
    <w:rsid w:val="00037DCC"/>
    <w:rsid w:val="00043701"/>
    <w:rsid w:val="000C7078"/>
    <w:rsid w:val="000D76E9"/>
    <w:rsid w:val="000E495B"/>
    <w:rsid w:val="00140645"/>
    <w:rsid w:val="00171964"/>
    <w:rsid w:val="001A07D9"/>
    <w:rsid w:val="001C0CCB"/>
    <w:rsid w:val="00200AB2"/>
    <w:rsid w:val="00220629"/>
    <w:rsid w:val="00247225"/>
    <w:rsid w:val="002A6CD1"/>
    <w:rsid w:val="002B69A9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D515E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01E74"/>
    <w:rsid w:val="00A66876"/>
    <w:rsid w:val="00A71613"/>
    <w:rsid w:val="00AB3459"/>
    <w:rsid w:val="00B31349"/>
    <w:rsid w:val="00B622ED"/>
    <w:rsid w:val="00B9584E"/>
    <w:rsid w:val="00BD05EF"/>
    <w:rsid w:val="00C103CD"/>
    <w:rsid w:val="00C232A0"/>
    <w:rsid w:val="00C8288B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  <w:rsid w:val="00FC5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07D9"/>
    <w:rPr>
      <w:color w:val="00000A"/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qFormat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qFormat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A07D9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C8288B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8288B"/>
    <w:rPr>
      <w:color w:val="00000A"/>
    </w:rPr>
  </w:style>
  <w:style w:type="character" w:styleId="aa">
    <w:name w:val="footnote reference"/>
    <w:basedOn w:val="a0"/>
    <w:rsid w:val="00C828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V.Prikhodko@inp.nsk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Cm/en/KD-Prikhod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EE5B2-0BC8-4698-89D0-2296EBBFE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5</TotalTime>
  <Pages>1</Pages>
  <Words>400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ОПТИМИЗАЦИЯ ПАРАМЕТРОВ НЕЙТРОННОГО ИСТОЧНИКА НА ОСНОВЕ ОТКРЫТОЙ ЛОВУШКИ, ОГРАНИЧЕННЫХ РАЗВИТИЕМ DCLC НЕУСТОЙЧИВОСТИ</dc:title>
  <dc:creator>sato</dc:creator>
  <cp:lastModifiedBy>Сатунин</cp:lastModifiedBy>
  <cp:revision>3</cp:revision>
  <cp:lastPrinted>1601-01-01T00:00:00Z</cp:lastPrinted>
  <dcterms:created xsi:type="dcterms:W3CDTF">2020-02-28T21:37:00Z</dcterms:created>
  <dcterms:modified xsi:type="dcterms:W3CDTF">2020-05-01T14:25:00Z</dcterms:modified>
</cp:coreProperties>
</file>