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23" w:rsidRPr="00FC13BE" w:rsidRDefault="00AE0D23" w:rsidP="00AE0D23">
      <w:pPr>
        <w:pStyle w:val="Zv-Titlereport"/>
      </w:pPr>
      <w:r>
        <w:t>Моделирование источника термоядерных нейтронов на основе аксиально-симметричной ловушки открытого типа для ториевого гибридного реактора</w:t>
      </w:r>
      <w:r w:rsidR="00FC13BE" w:rsidRPr="00FC13BE">
        <w:t xml:space="preserve"> </w:t>
      </w:r>
      <w:r w:rsidR="00FC13BE">
        <w:rPr>
          <w:rStyle w:val="ab"/>
        </w:rPr>
        <w:footnoteReference w:customMarkFollows="1" w:id="1"/>
        <w:t>*)</w:t>
      </w:r>
    </w:p>
    <w:p w:rsidR="00AE0D23" w:rsidRDefault="00AE0D23" w:rsidP="00AE0D23">
      <w:pPr>
        <w:pStyle w:val="Zv-Author"/>
      </w:pPr>
      <w:r w:rsidRPr="00AE0D23">
        <w:rPr>
          <w:vertAlign w:val="superscript"/>
        </w:rPr>
        <w:t>1,2</w:t>
      </w:r>
      <w:r>
        <w:t xml:space="preserve">Приходько В.В., </w:t>
      </w:r>
      <w:r w:rsidRPr="00AE0D23">
        <w:rPr>
          <w:vertAlign w:val="superscript"/>
        </w:rPr>
        <w:t>1,2</w:t>
      </w:r>
      <w:r>
        <w:t>Аржанников А.В.</w:t>
      </w:r>
    </w:p>
    <w:p w:rsidR="00AE0D23" w:rsidRDefault="00AE0D23" w:rsidP="00A96F54">
      <w:pPr>
        <w:pStyle w:val="Zv-Organization"/>
        <w:spacing w:after="180"/>
      </w:pPr>
      <w:r w:rsidRPr="00AE0D23">
        <w:rPr>
          <w:vertAlign w:val="superscript"/>
        </w:rPr>
        <w:t>1</w:t>
      </w:r>
      <w:r>
        <w:t xml:space="preserve">ИЯФ СО РАН, Новосибирск, РФ, </w:t>
      </w:r>
      <w:hyperlink r:id="rId8" w:history="1">
        <w:r w:rsidRPr="0054331D">
          <w:rPr>
            <w:rStyle w:val="a8"/>
          </w:rPr>
          <w:t>V.V.Prikhodko@inp.nsk.su</w:t>
        </w:r>
      </w:hyperlink>
      <w:r w:rsidRPr="00AE0D23">
        <w:br/>
      </w:r>
      <w:r w:rsidRPr="00AE0D23">
        <w:rPr>
          <w:vertAlign w:val="superscript"/>
        </w:rPr>
        <w:t>2</w:t>
      </w:r>
      <w:r>
        <w:t>НГУ, Новосибирск, РФ</w:t>
      </w:r>
    </w:p>
    <w:p w:rsidR="00AE0D23" w:rsidRDefault="00AE0D23" w:rsidP="00B85288">
      <w:pPr>
        <w:pStyle w:val="Zv-bodyreport"/>
        <w:spacing w:line="226" w:lineRule="auto"/>
      </w:pPr>
      <w:r>
        <w:t>Последние несколько лет в Томском политехническом университете рассматривается проект высокотемпературного ториевого реактора с газовым охлаждением [1]. В развитие этого проекта предложен гибридный реактор с подкритической топливной сборкой и аксиально-симметричной ловушкой в качестве источника нейтронов (ИН) [2]. В данной работе представлены результаты расчётов ИН в случае плазмы с 50% дейтерия и 50% трития, что даёт значительный рост выхода нейтронов по сравнению с чисто дейтериевой плазмой.</w:t>
      </w:r>
    </w:p>
    <w:p w:rsidR="00AE0D23" w:rsidRDefault="00AE0D23" w:rsidP="00B85288">
      <w:pPr>
        <w:pStyle w:val="Zv-bodyreport"/>
        <w:spacing w:line="226" w:lineRule="auto"/>
      </w:pPr>
      <w:r>
        <w:t>Расчёты проводились с помощью кода DOL [3]. Теоретическая модель, лежащая в его основе, предполагает разделение ионной функции распределения на две компоненты. Первая — это быстрые ионы, имеющие низкую частоту столкновений. Функция распределения этих ионов находится из решения кинетического уравнения, усреднённого по их периодическому движению вдоль магнитного поля. Вторая компонента — это тёплые ионы с модельной функцией распределения. Их удержание описывается уравнениями баланса частиц и энергии.</w:t>
      </w:r>
    </w:p>
    <w:p w:rsidR="00AE0D23" w:rsidRDefault="00AE0D23" w:rsidP="00B85288">
      <w:pPr>
        <w:pStyle w:val="Zv-bodyreport"/>
        <w:spacing w:line="226" w:lineRule="auto"/>
      </w:pPr>
      <w:r>
        <w:t>Рабочая область вакуумной камеры ИН имеет длину 15 м и ограничена магнитными пробками с полем 15</w:t>
      </w:r>
      <w:r>
        <w:noBreakHyphen/>
        <w:t>20 Т. Эта область камеры разделена на две части. Вокруг первой части камеры размещены атомарные инжектора для нагрева плазмы. Здесь магнитное поле небольшое (около 0.8 Т) и слабо изменяется вдоль оси установки. Вторая часть камеры окружена топливной сборкой реактора и имеет длину около 3 м. Поле в ней плавно нарастает с 2 Т до 2.5 Т,</w:t>
      </w:r>
      <w:bookmarkStart w:id="0" w:name="_GoBack"/>
      <w:bookmarkEnd w:id="0"/>
      <w:r>
        <w:t xml:space="preserve"> обеспечивая однородную по длине эмиссию нейтронов. Результаты проведённых серий расчётов для разных мощностей инжекции представлены в таблице.</w:t>
      </w: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6182"/>
        <w:gridCol w:w="1154"/>
        <w:gridCol w:w="1155"/>
        <w:gridCol w:w="1154"/>
      </w:tblGrid>
      <w:tr w:rsidR="00AE0D23" w:rsidTr="001A2F9F">
        <w:tc>
          <w:tcPr>
            <w:tcW w:w="6181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</w:pPr>
            <w:r>
              <w:t>Мощность инжекции, МВт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20</w:t>
            </w:r>
          </w:p>
        </w:tc>
        <w:tc>
          <w:tcPr>
            <w:tcW w:w="1155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30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40</w:t>
            </w:r>
          </w:p>
        </w:tc>
      </w:tr>
      <w:tr w:rsidR="00AE0D23" w:rsidTr="001A2F9F">
        <w:tc>
          <w:tcPr>
            <w:tcW w:w="6181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</w:pPr>
            <w:r>
              <w:t>Энергия инжекции, кэВ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50</w:t>
            </w:r>
          </w:p>
        </w:tc>
        <w:tc>
          <w:tcPr>
            <w:tcW w:w="1155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70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70</w:t>
            </w:r>
          </w:p>
        </w:tc>
      </w:tr>
      <w:tr w:rsidR="00AE0D23" w:rsidTr="001A2F9F">
        <w:tc>
          <w:tcPr>
            <w:tcW w:w="6181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</w:pPr>
            <w:r>
              <w:t>Температура тёплых ионов и электронов, кэВ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0.4 / 0.6</w:t>
            </w:r>
          </w:p>
        </w:tc>
        <w:tc>
          <w:tcPr>
            <w:tcW w:w="1155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0.6 / 0.7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0.7 / 0.8</w:t>
            </w:r>
          </w:p>
        </w:tc>
      </w:tr>
      <w:tr w:rsidR="00AE0D23" w:rsidTr="001A2F9F">
        <w:tc>
          <w:tcPr>
            <w:tcW w:w="6181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</w:pPr>
            <w:r>
              <w:t>Плотности тёплых и быстрых ионов, 10</w:t>
            </w:r>
            <w:r>
              <w:rPr>
                <w:vertAlign w:val="superscript"/>
              </w:rPr>
              <w:t>13</w:t>
            </w:r>
            <w:r>
              <w:t xml:space="preserve"> см</w:t>
            </w:r>
            <w:r>
              <w:rPr>
                <w:vertAlign w:val="superscript"/>
              </w:rPr>
              <w:t>-3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1.7 / 8.6</w:t>
            </w:r>
          </w:p>
        </w:tc>
        <w:tc>
          <w:tcPr>
            <w:tcW w:w="1155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2.2 / 11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4.1 / 13</w:t>
            </w:r>
          </w:p>
        </w:tc>
      </w:tr>
      <w:tr w:rsidR="00AE0D23" w:rsidTr="001A2F9F">
        <w:tc>
          <w:tcPr>
            <w:tcW w:w="6181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</w:pPr>
            <w:r>
              <w:t>Нейтронный выход в области топливной сборки, 10</w:t>
            </w:r>
            <w:r>
              <w:rPr>
                <w:vertAlign w:val="superscript"/>
              </w:rPr>
              <w:t>17</w:t>
            </w:r>
            <w:r>
              <w:t xml:space="preserve"> н/с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0.6</w:t>
            </w:r>
          </w:p>
        </w:tc>
        <w:tc>
          <w:tcPr>
            <w:tcW w:w="1155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1.8</w:t>
            </w:r>
          </w:p>
        </w:tc>
        <w:tc>
          <w:tcPr>
            <w:tcW w:w="1154" w:type="dxa"/>
            <w:shd w:val="clear" w:color="auto" w:fill="auto"/>
          </w:tcPr>
          <w:p w:rsidR="00AE0D23" w:rsidRDefault="00AE0D23" w:rsidP="00B85288">
            <w:pPr>
              <w:pStyle w:val="a7"/>
              <w:spacing w:line="226" w:lineRule="auto"/>
              <w:jc w:val="center"/>
            </w:pPr>
            <w:r>
              <w:t>2.6</w:t>
            </w:r>
          </w:p>
        </w:tc>
      </w:tr>
    </w:tbl>
    <w:p w:rsidR="00AE0D23" w:rsidRDefault="00AE0D23" w:rsidP="00B85288">
      <w:pPr>
        <w:pStyle w:val="Zv-bodyreport"/>
        <w:spacing w:line="226" w:lineRule="auto"/>
      </w:pPr>
      <w:r>
        <w:t xml:space="preserve">В качестве критериев отбора использовались три условия. Первое: </w:t>
      </w:r>
      <w:r>
        <w:rPr>
          <w:i/>
          <w:iCs/>
        </w:rPr>
        <w:t>t</w:t>
      </w:r>
      <w:r>
        <w:rPr>
          <w:i/>
          <w:iCs/>
          <w:vertAlign w:val="subscript"/>
        </w:rPr>
        <w:t>kin</w:t>
      </w:r>
      <w:r>
        <w:t> / </w:t>
      </w:r>
      <w:r>
        <w:rPr>
          <w:i/>
          <w:iCs/>
        </w:rPr>
        <w:t>t</w:t>
      </w:r>
      <w:r>
        <w:rPr>
          <w:i/>
          <w:iCs/>
          <w:vertAlign w:val="subscript"/>
        </w:rPr>
        <w:t>gd</w:t>
      </w:r>
      <w:r>
        <w:t xml:space="preserve"> &lt; 1, где </w:t>
      </w:r>
      <w:r>
        <w:rPr>
          <w:i/>
          <w:iCs/>
        </w:rPr>
        <w:t>t</w:t>
      </w:r>
      <w:r>
        <w:rPr>
          <w:i/>
          <w:iCs/>
          <w:vertAlign w:val="subscript"/>
        </w:rPr>
        <w:t>kin</w:t>
      </w:r>
      <w:r>
        <w:t xml:space="preserve"> и </w:t>
      </w:r>
      <w:r>
        <w:rPr>
          <w:i/>
          <w:iCs/>
        </w:rPr>
        <w:t>t</w:t>
      </w:r>
      <w:r>
        <w:rPr>
          <w:i/>
          <w:iCs/>
          <w:vertAlign w:val="subscript"/>
        </w:rPr>
        <w:t>gd</w:t>
      </w:r>
      <w:r>
        <w:t xml:space="preserve"> — времена удержания тёплых ионов в кинетическом и газодинамическом режимах. Это консервативное условие, при выполнении которого микронеустойчивости на тёплых ионах не развиваются. Второе: </w:t>
      </w:r>
      <w:r>
        <w:rPr>
          <w:i/>
          <w:iCs/>
        </w:rPr>
        <w:t>T</w:t>
      </w:r>
      <w:r>
        <w:rPr>
          <w:i/>
          <w:iCs/>
          <w:vertAlign w:val="subscript"/>
        </w:rPr>
        <w:t>i</w:t>
      </w:r>
      <w:r>
        <w:t> / </w:t>
      </w:r>
      <w:r>
        <w:rPr>
          <w:i/>
          <w:iCs/>
        </w:rPr>
        <w:t>E</w:t>
      </w:r>
      <w:r>
        <w:rPr>
          <w:i/>
          <w:iCs/>
          <w:vertAlign w:val="subscript"/>
        </w:rPr>
        <w:t>inj</w:t>
      </w:r>
      <w:r>
        <w:t xml:space="preserve"> &gt; 0.01, где </w:t>
      </w:r>
      <w:r>
        <w:rPr>
          <w:i/>
          <w:iCs/>
        </w:rPr>
        <w:t>T</w:t>
      </w:r>
      <w:r>
        <w:rPr>
          <w:i/>
          <w:iCs/>
          <w:vertAlign w:val="subscript"/>
        </w:rPr>
        <w:t>i</w:t>
      </w:r>
      <w:r>
        <w:t xml:space="preserve"> — температура ионов, а </w:t>
      </w:r>
      <w:r>
        <w:rPr>
          <w:i/>
          <w:iCs/>
        </w:rPr>
        <w:t>E</w:t>
      </w:r>
      <w:r>
        <w:rPr>
          <w:i/>
          <w:iCs/>
          <w:vertAlign w:val="subscript"/>
        </w:rPr>
        <w:t>inj</w:t>
      </w:r>
      <w:r>
        <w:t xml:space="preserve"> — энергия атомов в инжектируемых пучках. При выполнении этого условия оказывается подавлена двугорбая неустойчивость. Третье: </w:t>
      </w:r>
      <w:bookmarkStart w:id="1" w:name="__DdeLink__280_2698162551"/>
      <w:r>
        <w:rPr>
          <w:i/>
          <w:iCs/>
        </w:rPr>
        <w:t>n</w:t>
      </w:r>
      <w:r>
        <w:rPr>
          <w:i/>
          <w:iCs/>
          <w:vertAlign w:val="subscript"/>
        </w:rPr>
        <w:t>w</w:t>
      </w:r>
      <w:r>
        <w:t> / </w:t>
      </w:r>
      <w:r>
        <w:rPr>
          <w:i/>
          <w:iCs/>
        </w:rPr>
        <w:t>n</w:t>
      </w:r>
      <w:r>
        <w:rPr>
          <w:i/>
          <w:iCs/>
          <w:vertAlign w:val="subscript"/>
        </w:rPr>
        <w:t>f</w:t>
      </w:r>
      <w:r>
        <w:t> &gt; 0.1</w:t>
      </w:r>
      <w:bookmarkEnd w:id="1"/>
      <w:r>
        <w:t xml:space="preserve">, где </w:t>
      </w:r>
      <w:r>
        <w:rPr>
          <w:i/>
          <w:iCs/>
        </w:rPr>
        <w:t>n</w:t>
      </w:r>
      <w:r>
        <w:rPr>
          <w:i/>
          <w:iCs/>
          <w:vertAlign w:val="subscript"/>
        </w:rPr>
        <w:t>w</w:t>
      </w:r>
      <w:r>
        <w:t xml:space="preserve"> и </w:t>
      </w:r>
      <w:r>
        <w:rPr>
          <w:i/>
          <w:iCs/>
        </w:rPr>
        <w:t>n</w:t>
      </w:r>
      <w:r>
        <w:rPr>
          <w:i/>
          <w:iCs/>
          <w:vertAlign w:val="subscript"/>
        </w:rPr>
        <w:t>f</w:t>
      </w:r>
      <w:r>
        <w:t xml:space="preserve"> — плотности тёплых и быстрых ионов. При нарушении этого условия может развиваться дрейфово-конусная циклотронная (DCLC) неустойчивость на быстрых ионах.</w:t>
      </w:r>
    </w:p>
    <w:p w:rsidR="00AE0D23" w:rsidRPr="00B70F46" w:rsidRDefault="00AE0D23" w:rsidP="00A96F54">
      <w:pPr>
        <w:pStyle w:val="Zv-TitleReferences-ru"/>
        <w:spacing w:before="80" w:after="80"/>
      </w:pPr>
      <w:r>
        <w:t>Литература</w:t>
      </w:r>
    </w:p>
    <w:p w:rsidR="00AE0D23" w:rsidRPr="00AE0D23" w:rsidRDefault="00AE0D23" w:rsidP="00B85288">
      <w:pPr>
        <w:pStyle w:val="Zv-References-ru"/>
        <w:spacing w:line="228" w:lineRule="auto"/>
      </w:pPr>
      <w:bookmarkStart w:id="2" w:name="__DdeLink__842_1538391963"/>
      <w:bookmarkEnd w:id="2"/>
      <w:r w:rsidRPr="00AE0D23">
        <w:rPr>
          <w:lang w:val="en-US"/>
        </w:rPr>
        <w:t xml:space="preserve">I.V.Shamanin, S.V.Bedenko, Yu.B.Chertkov, Thorium-loaded low-power reactor installation operated with super-long fuel residence time. </w:t>
      </w:r>
      <w:r w:rsidRPr="00AE0D23">
        <w:t>Izvestiya Wysshikh Uchebnykh Zawedeniy, Yadernaya Energetika 2, 121–132 (2016) (in Russian).</w:t>
      </w:r>
    </w:p>
    <w:p w:rsidR="00AE0D23" w:rsidRPr="00A96F54" w:rsidRDefault="00AE0D23" w:rsidP="00B85288">
      <w:pPr>
        <w:pStyle w:val="Zv-References-ru"/>
        <w:spacing w:line="228" w:lineRule="auto"/>
      </w:pPr>
      <w:r w:rsidRPr="00AE0D23">
        <w:rPr>
          <w:lang w:val="en-US"/>
        </w:rPr>
        <w:t xml:space="preserve">A.Arzhannikov, S.Bedenko, V.Shmakov, V.Knyshev, I.Lutsik, V.Prikhodko, I.Shamanin. Gas-cooled thorium reactor at various fuel loadings and its modification by a plasma source of extra neutrons. </w:t>
      </w:r>
      <w:r w:rsidRPr="00AE0D23">
        <w:t>NUCL SCI TECH (2019) 30:181. DOI: 10.1007/s41365-019-0707-y</w:t>
      </w:r>
    </w:p>
    <w:p w:rsidR="00A96F54" w:rsidRPr="00AE0D23" w:rsidRDefault="00A96F54" w:rsidP="00B85288">
      <w:pPr>
        <w:pStyle w:val="Zv-References-ru"/>
        <w:widowControl w:val="0"/>
        <w:spacing w:line="228" w:lineRule="auto"/>
      </w:pPr>
      <w:r>
        <w:t>Д.В.Юров, В.В.Приходько, Ю.А.Цидулко, "Нестационарная модель для описания осесимметричной открытой ловушки с неравновесной плазмой", Физика плазмы, т.</w:t>
      </w:r>
      <w:r>
        <w:rPr>
          <w:lang w:val="en-US"/>
        </w:rPr>
        <w:t> </w:t>
      </w:r>
      <w:r>
        <w:t>42, №</w:t>
      </w:r>
      <w:r>
        <w:rPr>
          <w:lang w:val="en-US"/>
        </w:rPr>
        <w:t> </w:t>
      </w:r>
      <w:r>
        <w:t>3, с.</w:t>
      </w:r>
      <w:r>
        <w:rPr>
          <w:lang w:val="en-US"/>
        </w:rPr>
        <w:t> </w:t>
      </w:r>
      <w:r>
        <w:t>217-233, (2016).</w:t>
      </w:r>
    </w:p>
    <w:sectPr w:rsidR="00A96F54" w:rsidRPr="00AE0D2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A9" w:rsidRDefault="00CD09A9">
      <w:r>
        <w:separator/>
      </w:r>
    </w:p>
  </w:endnote>
  <w:endnote w:type="continuationSeparator" w:id="0">
    <w:p w:rsidR="00CD09A9" w:rsidRDefault="00CD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53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53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52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A9" w:rsidRDefault="00CD09A9">
      <w:r>
        <w:separator/>
      </w:r>
    </w:p>
  </w:footnote>
  <w:footnote w:type="continuationSeparator" w:id="0">
    <w:p w:rsidR="00CD09A9" w:rsidRDefault="00CD09A9">
      <w:r>
        <w:continuationSeparator/>
      </w:r>
    </w:p>
  </w:footnote>
  <w:footnote w:id="1">
    <w:p w:rsidR="00FC13BE" w:rsidRPr="00FC13BE" w:rsidRDefault="00FC13BE">
      <w:pPr>
        <w:pStyle w:val="a9"/>
        <w:rPr>
          <w:lang w:val="en-US"/>
        </w:rPr>
      </w:pPr>
      <w:r w:rsidRPr="00FC13BE">
        <w:rPr>
          <w:rStyle w:val="ab"/>
          <w:sz w:val="22"/>
        </w:rPr>
        <w:t>*)</w:t>
      </w:r>
      <w:r w:rsidRPr="00FC13BE">
        <w:rPr>
          <w:sz w:val="22"/>
        </w:rPr>
        <w:t xml:space="preserve">  </w:t>
      </w:r>
      <w:hyperlink r:id="rId1" w:history="1">
        <w:r w:rsidRPr="00B85288">
          <w:rPr>
            <w:rStyle w:val="a8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453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E74011"/>
    <w:multiLevelType w:val="multilevel"/>
    <w:tmpl w:val="200CD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6F54"/>
    <w:rsid w:val="00037DCC"/>
    <w:rsid w:val="00043701"/>
    <w:rsid w:val="000C7078"/>
    <w:rsid w:val="000D76E9"/>
    <w:rsid w:val="000E495B"/>
    <w:rsid w:val="00140645"/>
    <w:rsid w:val="00171964"/>
    <w:rsid w:val="001C0CCB"/>
    <w:rsid w:val="00200030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533A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35F8B"/>
    <w:rsid w:val="007B6378"/>
    <w:rsid w:val="00802D35"/>
    <w:rsid w:val="008E2894"/>
    <w:rsid w:val="0094721E"/>
    <w:rsid w:val="00A66876"/>
    <w:rsid w:val="00A71613"/>
    <w:rsid w:val="00A96F54"/>
    <w:rsid w:val="00AB3459"/>
    <w:rsid w:val="00AE0D23"/>
    <w:rsid w:val="00B622ED"/>
    <w:rsid w:val="00B85288"/>
    <w:rsid w:val="00B9584E"/>
    <w:rsid w:val="00BD05EF"/>
    <w:rsid w:val="00C103CD"/>
    <w:rsid w:val="00C232A0"/>
    <w:rsid w:val="00CA791E"/>
    <w:rsid w:val="00CD09A9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C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23"/>
    <w:rPr>
      <w:color w:val="00000A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Содержимое таблицы"/>
    <w:basedOn w:val="a"/>
    <w:qFormat/>
    <w:rsid w:val="00AE0D23"/>
  </w:style>
  <w:style w:type="character" w:styleId="a8">
    <w:name w:val="Hyperlink"/>
    <w:basedOn w:val="a0"/>
    <w:rsid w:val="00AE0D23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FC13B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C13BE"/>
    <w:rPr>
      <w:color w:val="00000A"/>
    </w:rPr>
  </w:style>
  <w:style w:type="character" w:styleId="ab">
    <w:name w:val="footnote reference"/>
    <w:basedOn w:val="a0"/>
    <w:rsid w:val="00FC13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Prikhodko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C-Prikhod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ABF4-D8D9-4DB1-BEEB-17DBE7F0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470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ИСТОЧНИКА ТЕРМОЯДЕРНЫХ НЕЙТРОНОВ НА ОСНОВЕ АКСИАЛЬНО-СИММЕТРИЧНОЙ ЛОВУШКИ ОТКРЫТОГО ТИПА ДЛЯ ТОРИЕВОГО ГИБРИДНОГО РЕАКТОРА</dc:title>
  <dc:creator>sato</dc:creator>
  <cp:lastModifiedBy>Сатунин</cp:lastModifiedBy>
  <cp:revision>4</cp:revision>
  <cp:lastPrinted>1601-01-01T00:00:00Z</cp:lastPrinted>
  <dcterms:created xsi:type="dcterms:W3CDTF">2020-02-28T21:15:00Z</dcterms:created>
  <dcterms:modified xsi:type="dcterms:W3CDTF">2020-05-01T14:21:00Z</dcterms:modified>
</cp:coreProperties>
</file>