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224" w:rsidRDefault="009306C8" w:rsidP="00AF7224">
      <w:pPr>
        <w:pStyle w:val="Zv-Titlereport"/>
        <w:rPr>
          <w:lang w:val="en-US"/>
        </w:rPr>
      </w:pPr>
      <w:r w:rsidRPr="009306C8">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9306C8" w:rsidRPr="0095603D" w:rsidRDefault="009306C8" w:rsidP="003B6459">
                  <w:pPr>
                    <w:spacing w:before="80"/>
                    <w:rPr>
                      <w:sz w:val="22"/>
                      <w:szCs w:val="22"/>
                    </w:rPr>
                  </w:pPr>
                  <w:r w:rsidRPr="0095603D">
                    <w:rPr>
                      <w:sz w:val="22"/>
                      <w:szCs w:val="22"/>
                    </w:rPr>
                    <w:t>DOI:</w:t>
                  </w:r>
                  <w:r>
                    <w:rPr>
                      <w:sz w:val="22"/>
                      <w:szCs w:val="22"/>
                    </w:rPr>
                    <w:t xml:space="preserve"> </w:t>
                  </w:r>
                  <w:r w:rsidRPr="009306C8">
                    <w:rPr>
                      <w:sz w:val="22"/>
                      <w:szCs w:val="22"/>
                    </w:rPr>
                    <w:t>10.34854/ICPAF.2020.47.1.216</w:t>
                  </w:r>
                </w:p>
              </w:txbxContent>
            </v:textbox>
            <w10:anchorlock/>
          </v:shape>
        </w:pict>
      </w:r>
      <w:r w:rsidR="00AF7224">
        <w:rPr>
          <w:lang w:val="en-US"/>
        </w:rPr>
        <w:t>Simulation of a thermonuclear neutron source based on an axially symmetric mirror trap for a thorium hybrid reactor</w:t>
      </w:r>
      <w:r w:rsidR="008E2CA0">
        <w:rPr>
          <w:lang w:val="en-US"/>
        </w:rPr>
        <w:t xml:space="preserve"> </w:t>
      </w:r>
      <w:r w:rsidR="008E2CA0">
        <w:rPr>
          <w:rStyle w:val="aa"/>
          <w:lang w:val="en-US"/>
        </w:rPr>
        <w:footnoteReference w:customMarkFollows="1" w:id="1"/>
        <w:t>*)</w:t>
      </w:r>
    </w:p>
    <w:p w:rsidR="00AF7224" w:rsidRDefault="00AF7224" w:rsidP="00AF7224">
      <w:pPr>
        <w:pStyle w:val="Zv-Author"/>
        <w:rPr>
          <w:lang w:val="en-US"/>
        </w:rPr>
      </w:pPr>
      <w:r w:rsidRPr="00AF7224">
        <w:rPr>
          <w:vertAlign w:val="superscript"/>
          <w:lang w:val="en-US"/>
        </w:rPr>
        <w:t>1,2</w:t>
      </w:r>
      <w:r>
        <w:rPr>
          <w:lang w:val="en-US"/>
        </w:rPr>
        <w:t xml:space="preserve">Prikhodko V.V., </w:t>
      </w:r>
      <w:r w:rsidRPr="00AF7224">
        <w:rPr>
          <w:vertAlign w:val="superscript"/>
          <w:lang w:val="en-US"/>
        </w:rPr>
        <w:t>1,2</w:t>
      </w:r>
      <w:r>
        <w:rPr>
          <w:lang w:val="en-US"/>
        </w:rPr>
        <w:t>Arzhannikov A.V.</w:t>
      </w:r>
    </w:p>
    <w:p w:rsidR="00AF7224" w:rsidRDefault="00AF7224" w:rsidP="00AF7224">
      <w:pPr>
        <w:pStyle w:val="Zv-Organization"/>
        <w:rPr>
          <w:lang w:val="en-US"/>
        </w:rPr>
      </w:pPr>
      <w:r w:rsidRPr="00AF7224">
        <w:rPr>
          <w:vertAlign w:val="superscript"/>
          <w:lang w:val="en-US"/>
        </w:rPr>
        <w:t>1</w:t>
      </w:r>
      <w:r>
        <w:rPr>
          <w:lang w:val="en-US"/>
        </w:rPr>
        <w:t xml:space="preserve">BINP SB RAS, Novosibirsk, Russia, </w:t>
      </w:r>
      <w:hyperlink r:id="rId8" w:history="1">
        <w:r w:rsidRPr="0054331D">
          <w:rPr>
            <w:rStyle w:val="a7"/>
            <w:lang w:val="en-US"/>
          </w:rPr>
          <w:t>V.V.Prikhodko@inp.nsk.su</w:t>
        </w:r>
      </w:hyperlink>
      <w:r>
        <w:rPr>
          <w:lang w:val="en-US"/>
        </w:rPr>
        <w:br/>
      </w:r>
      <w:r w:rsidRPr="00AF7224">
        <w:rPr>
          <w:vertAlign w:val="superscript"/>
          <w:lang w:val="en-US"/>
        </w:rPr>
        <w:t>2</w:t>
      </w:r>
      <w:r>
        <w:rPr>
          <w:lang w:val="en-US"/>
        </w:rPr>
        <w:t>NSU, Novosibirsk, Russia</w:t>
      </w:r>
    </w:p>
    <w:p w:rsidR="00AF7224" w:rsidRPr="00AF7224" w:rsidRDefault="00AF7224" w:rsidP="00AF7224">
      <w:pPr>
        <w:pStyle w:val="Zv-bodyreport"/>
        <w:rPr>
          <w:lang w:val="en-US"/>
        </w:rPr>
      </w:pPr>
      <w:r>
        <w:rPr>
          <w:lang w:val="en-GB"/>
        </w:rPr>
        <w:t>Over the past few years Tomsk Polytechnic University has been developing a project of a high-temperature gas-cooled thorium reactor [1]. Possible design of such a device is a hybrid reactor with a subcritical fuel assembly and a plasma neutron source (NS) based on an open axially symmetric mirror trap [2]. The results of NS calculations are presented in this paper for a plasma of 50% deuterium and 50% tritium mixture. Tritium usage allows to significantly increase the neutron yield compared to the pure deuterium case.</w:t>
      </w:r>
    </w:p>
    <w:p w:rsidR="00AF7224" w:rsidRDefault="00AF7224" w:rsidP="00AF7224">
      <w:pPr>
        <w:pStyle w:val="Zv-bodyreport"/>
        <w:rPr>
          <w:lang w:val="en-GB"/>
        </w:rPr>
      </w:pPr>
      <w:r>
        <w:rPr>
          <w:lang w:val="en-GB"/>
        </w:rPr>
        <w:t>Calculations were performed by DOL code [3]. The theoretical model underlying it assumes the division of the ion distribution function into two parts. The first is fast ions, which have a low collision frequency. Their distribution function is found from the solution of the kinetic equation averaged over the period of longitudinal motion. The second is warm ions with a model distribution function. Their confinement is determined by the equations of balance of particles and energy.</w:t>
      </w:r>
    </w:p>
    <w:p w:rsidR="00AF7224" w:rsidRPr="00AF7224" w:rsidRDefault="00AF7224" w:rsidP="00AF7224">
      <w:pPr>
        <w:pStyle w:val="Zv-bodyreport"/>
        <w:rPr>
          <w:lang w:val="en-US"/>
        </w:rPr>
      </w:pPr>
      <w:r>
        <w:rPr>
          <w:lang w:val="en-GB"/>
        </w:rPr>
        <w:t>The main cell of NS has a length of 15 m and ends by mirror coils with a field of 15</w:t>
      </w:r>
      <w:r>
        <w:rPr>
          <w:lang w:val="en-GB"/>
        </w:rPr>
        <w:noBreakHyphen/>
        <w:t>20 T. The cell is conventionally divided into two parts. Heating atomic beam injectors are placed in the first part. The magnetic field here is almost constant and the lowest in the main cell (about 0.8 T). The second part is surrounded by a fuel assembly and has a length of about 3 m. The field slowly increases here from 2 T to 2.5 T providing a fairly uniform emission of neutrons. The results of three calculation series with different values of injection power are presented in the table.</w:t>
      </w:r>
    </w:p>
    <w:tbl>
      <w:tblPr>
        <w:tblW w:w="9645" w:type="dxa"/>
        <w:tblCellMar>
          <w:left w:w="0" w:type="dxa"/>
          <w:right w:w="0" w:type="dxa"/>
        </w:tblCellMar>
        <w:tblLook w:val="04A0"/>
      </w:tblPr>
      <w:tblGrid>
        <w:gridCol w:w="5954"/>
        <w:gridCol w:w="1231"/>
        <w:gridCol w:w="1231"/>
        <w:gridCol w:w="1229"/>
      </w:tblGrid>
      <w:tr w:rsidR="00AF7224" w:rsidTr="001A2F9F">
        <w:tc>
          <w:tcPr>
            <w:tcW w:w="5953" w:type="dxa"/>
            <w:shd w:val="clear" w:color="auto" w:fill="auto"/>
          </w:tcPr>
          <w:p w:rsidR="00AF7224" w:rsidRDefault="00AF7224" w:rsidP="001A2F9F">
            <w:pPr>
              <w:pStyle w:val="Zv-bodyreportcont"/>
              <w:rPr>
                <w:lang w:val="en-US"/>
              </w:rPr>
            </w:pPr>
            <w:r>
              <w:rPr>
                <w:lang w:val="en-US"/>
              </w:rPr>
              <w:t>Injection power, MW</w:t>
            </w:r>
          </w:p>
        </w:tc>
        <w:tc>
          <w:tcPr>
            <w:tcW w:w="1231" w:type="dxa"/>
            <w:shd w:val="clear" w:color="auto" w:fill="auto"/>
          </w:tcPr>
          <w:p w:rsidR="00AF7224" w:rsidRDefault="00AF7224" w:rsidP="001A2F9F">
            <w:pPr>
              <w:pStyle w:val="Zv-bodyreportcont"/>
              <w:jc w:val="center"/>
              <w:rPr>
                <w:lang w:val="en-US"/>
              </w:rPr>
            </w:pPr>
            <w:r>
              <w:rPr>
                <w:lang w:val="en-US"/>
              </w:rPr>
              <w:t>20</w:t>
            </w:r>
          </w:p>
        </w:tc>
        <w:tc>
          <w:tcPr>
            <w:tcW w:w="1231" w:type="dxa"/>
            <w:shd w:val="clear" w:color="auto" w:fill="auto"/>
          </w:tcPr>
          <w:p w:rsidR="00AF7224" w:rsidRDefault="00AF7224" w:rsidP="001A2F9F">
            <w:pPr>
              <w:pStyle w:val="Zv-bodyreportcont"/>
              <w:jc w:val="center"/>
              <w:rPr>
                <w:lang w:val="en-US"/>
              </w:rPr>
            </w:pPr>
            <w:r>
              <w:rPr>
                <w:lang w:val="en-US"/>
              </w:rPr>
              <w:t>30</w:t>
            </w:r>
          </w:p>
        </w:tc>
        <w:tc>
          <w:tcPr>
            <w:tcW w:w="1229" w:type="dxa"/>
            <w:shd w:val="clear" w:color="auto" w:fill="auto"/>
          </w:tcPr>
          <w:p w:rsidR="00AF7224" w:rsidRDefault="00AF7224" w:rsidP="001A2F9F">
            <w:pPr>
              <w:pStyle w:val="Zv-bodyreportcont"/>
              <w:jc w:val="center"/>
              <w:rPr>
                <w:lang w:val="en-US"/>
              </w:rPr>
            </w:pPr>
            <w:r>
              <w:rPr>
                <w:lang w:val="en-US"/>
              </w:rPr>
              <w:t>40</w:t>
            </w:r>
          </w:p>
        </w:tc>
      </w:tr>
      <w:tr w:rsidR="00AF7224" w:rsidTr="001A2F9F">
        <w:tc>
          <w:tcPr>
            <w:tcW w:w="5953" w:type="dxa"/>
            <w:shd w:val="clear" w:color="auto" w:fill="auto"/>
          </w:tcPr>
          <w:p w:rsidR="00AF7224" w:rsidRDefault="00AF7224" w:rsidP="001A2F9F">
            <w:pPr>
              <w:pStyle w:val="Zv-bodyreportcont"/>
              <w:rPr>
                <w:lang w:val="en-US"/>
              </w:rPr>
            </w:pPr>
            <w:r>
              <w:rPr>
                <w:lang w:val="en-US"/>
              </w:rPr>
              <w:t>Injection energy, keV</w:t>
            </w:r>
          </w:p>
        </w:tc>
        <w:tc>
          <w:tcPr>
            <w:tcW w:w="1231" w:type="dxa"/>
            <w:shd w:val="clear" w:color="auto" w:fill="auto"/>
          </w:tcPr>
          <w:p w:rsidR="00AF7224" w:rsidRDefault="00AF7224" w:rsidP="001A2F9F">
            <w:pPr>
              <w:pStyle w:val="Zv-bodyreportcont"/>
              <w:jc w:val="center"/>
              <w:rPr>
                <w:lang w:val="en-US"/>
              </w:rPr>
            </w:pPr>
            <w:r>
              <w:rPr>
                <w:lang w:val="en-US"/>
              </w:rPr>
              <w:t>50</w:t>
            </w:r>
          </w:p>
        </w:tc>
        <w:tc>
          <w:tcPr>
            <w:tcW w:w="1231" w:type="dxa"/>
            <w:shd w:val="clear" w:color="auto" w:fill="auto"/>
          </w:tcPr>
          <w:p w:rsidR="00AF7224" w:rsidRDefault="00AF7224" w:rsidP="001A2F9F">
            <w:pPr>
              <w:pStyle w:val="Zv-bodyreportcont"/>
              <w:jc w:val="center"/>
              <w:rPr>
                <w:lang w:val="en-US"/>
              </w:rPr>
            </w:pPr>
            <w:r>
              <w:rPr>
                <w:lang w:val="en-US"/>
              </w:rPr>
              <w:t>70</w:t>
            </w:r>
          </w:p>
        </w:tc>
        <w:tc>
          <w:tcPr>
            <w:tcW w:w="1229" w:type="dxa"/>
            <w:shd w:val="clear" w:color="auto" w:fill="auto"/>
          </w:tcPr>
          <w:p w:rsidR="00AF7224" w:rsidRDefault="00AF7224" w:rsidP="001A2F9F">
            <w:pPr>
              <w:pStyle w:val="Zv-bodyreportcont"/>
              <w:jc w:val="center"/>
              <w:rPr>
                <w:lang w:val="en-US"/>
              </w:rPr>
            </w:pPr>
            <w:r>
              <w:rPr>
                <w:lang w:val="en-US"/>
              </w:rPr>
              <w:t>70</w:t>
            </w:r>
          </w:p>
        </w:tc>
      </w:tr>
      <w:tr w:rsidR="00AF7224" w:rsidTr="001A2F9F">
        <w:tc>
          <w:tcPr>
            <w:tcW w:w="5953" w:type="dxa"/>
            <w:shd w:val="clear" w:color="auto" w:fill="auto"/>
          </w:tcPr>
          <w:p w:rsidR="00AF7224" w:rsidRDefault="00AF7224" w:rsidP="001A2F9F">
            <w:pPr>
              <w:pStyle w:val="Zv-bodyreportcont"/>
              <w:rPr>
                <w:lang w:val="en-US"/>
              </w:rPr>
            </w:pPr>
            <w:r>
              <w:rPr>
                <w:lang w:val="en-US"/>
              </w:rPr>
              <w:t>Temperature of warm ions and electrons, keV</w:t>
            </w:r>
          </w:p>
        </w:tc>
        <w:tc>
          <w:tcPr>
            <w:tcW w:w="1231" w:type="dxa"/>
            <w:shd w:val="clear" w:color="auto" w:fill="auto"/>
          </w:tcPr>
          <w:p w:rsidR="00AF7224" w:rsidRDefault="00AF7224" w:rsidP="001A2F9F">
            <w:pPr>
              <w:pStyle w:val="Zv-bodyreportcont"/>
              <w:jc w:val="center"/>
              <w:rPr>
                <w:lang w:val="en-US"/>
              </w:rPr>
            </w:pPr>
            <w:r>
              <w:rPr>
                <w:lang w:val="en-US"/>
              </w:rPr>
              <w:t>0.4 / 0.6</w:t>
            </w:r>
          </w:p>
        </w:tc>
        <w:tc>
          <w:tcPr>
            <w:tcW w:w="1231" w:type="dxa"/>
            <w:shd w:val="clear" w:color="auto" w:fill="auto"/>
          </w:tcPr>
          <w:p w:rsidR="00AF7224" w:rsidRDefault="00AF7224" w:rsidP="001A2F9F">
            <w:pPr>
              <w:pStyle w:val="Zv-bodyreportcont"/>
              <w:jc w:val="center"/>
              <w:rPr>
                <w:lang w:val="en-US"/>
              </w:rPr>
            </w:pPr>
            <w:r>
              <w:rPr>
                <w:lang w:val="en-US"/>
              </w:rPr>
              <w:t>0.6 / 0.7</w:t>
            </w:r>
          </w:p>
        </w:tc>
        <w:tc>
          <w:tcPr>
            <w:tcW w:w="1229" w:type="dxa"/>
            <w:shd w:val="clear" w:color="auto" w:fill="auto"/>
          </w:tcPr>
          <w:p w:rsidR="00AF7224" w:rsidRDefault="00AF7224" w:rsidP="001A2F9F">
            <w:pPr>
              <w:pStyle w:val="Zv-bodyreportcont"/>
              <w:jc w:val="center"/>
              <w:rPr>
                <w:lang w:val="en-US"/>
              </w:rPr>
            </w:pPr>
            <w:r>
              <w:rPr>
                <w:lang w:val="en-US"/>
              </w:rPr>
              <w:t>0.7 / 0.8</w:t>
            </w:r>
          </w:p>
        </w:tc>
      </w:tr>
      <w:tr w:rsidR="00AF7224" w:rsidTr="001A2F9F">
        <w:tc>
          <w:tcPr>
            <w:tcW w:w="5953" w:type="dxa"/>
            <w:shd w:val="clear" w:color="auto" w:fill="auto"/>
          </w:tcPr>
          <w:p w:rsidR="00AF7224" w:rsidRDefault="00AF7224" w:rsidP="001A2F9F">
            <w:pPr>
              <w:pStyle w:val="Zv-bodyreportcont"/>
              <w:rPr>
                <w:lang w:val="en-US"/>
              </w:rPr>
            </w:pPr>
            <w:r>
              <w:rPr>
                <w:lang w:val="en-US"/>
              </w:rPr>
              <w:t>Densities of warm and fast ions, 10</w:t>
            </w:r>
            <w:r>
              <w:rPr>
                <w:vertAlign w:val="superscript"/>
                <w:lang w:val="en-US"/>
              </w:rPr>
              <w:t>13</w:t>
            </w:r>
            <w:r>
              <w:rPr>
                <w:lang w:val="en-US"/>
              </w:rPr>
              <w:t xml:space="preserve"> cm</w:t>
            </w:r>
            <w:r>
              <w:rPr>
                <w:vertAlign w:val="superscript"/>
                <w:lang w:val="en-US"/>
              </w:rPr>
              <w:t>-3</w:t>
            </w:r>
          </w:p>
        </w:tc>
        <w:tc>
          <w:tcPr>
            <w:tcW w:w="1231" w:type="dxa"/>
            <w:shd w:val="clear" w:color="auto" w:fill="auto"/>
          </w:tcPr>
          <w:p w:rsidR="00AF7224" w:rsidRDefault="00AF7224" w:rsidP="001A2F9F">
            <w:pPr>
              <w:pStyle w:val="Zv-bodyreportcont"/>
              <w:jc w:val="center"/>
              <w:rPr>
                <w:lang w:val="en-US"/>
              </w:rPr>
            </w:pPr>
            <w:r>
              <w:rPr>
                <w:lang w:val="en-US"/>
              </w:rPr>
              <w:t>1.7 / 8.6</w:t>
            </w:r>
          </w:p>
        </w:tc>
        <w:tc>
          <w:tcPr>
            <w:tcW w:w="1231" w:type="dxa"/>
            <w:shd w:val="clear" w:color="auto" w:fill="auto"/>
          </w:tcPr>
          <w:p w:rsidR="00AF7224" w:rsidRDefault="00AF7224" w:rsidP="001A2F9F">
            <w:pPr>
              <w:pStyle w:val="Zv-bodyreportcont"/>
              <w:jc w:val="center"/>
              <w:rPr>
                <w:lang w:val="en-US"/>
              </w:rPr>
            </w:pPr>
            <w:r>
              <w:rPr>
                <w:lang w:val="en-US"/>
              </w:rPr>
              <w:t>2.2 / 11</w:t>
            </w:r>
          </w:p>
        </w:tc>
        <w:tc>
          <w:tcPr>
            <w:tcW w:w="1229" w:type="dxa"/>
            <w:shd w:val="clear" w:color="auto" w:fill="auto"/>
          </w:tcPr>
          <w:p w:rsidR="00AF7224" w:rsidRDefault="00AF7224" w:rsidP="001A2F9F">
            <w:pPr>
              <w:pStyle w:val="Zv-bodyreportcont"/>
              <w:jc w:val="center"/>
              <w:rPr>
                <w:lang w:val="en-US"/>
              </w:rPr>
            </w:pPr>
            <w:r>
              <w:rPr>
                <w:lang w:val="en-US"/>
              </w:rPr>
              <w:t>4.1 / 13</w:t>
            </w:r>
          </w:p>
        </w:tc>
      </w:tr>
      <w:tr w:rsidR="00AF7224" w:rsidTr="001A2F9F">
        <w:tc>
          <w:tcPr>
            <w:tcW w:w="5953" w:type="dxa"/>
            <w:shd w:val="clear" w:color="auto" w:fill="auto"/>
          </w:tcPr>
          <w:p w:rsidR="00AF7224" w:rsidRDefault="00AF7224" w:rsidP="001A2F9F">
            <w:pPr>
              <w:pStyle w:val="Zv-bodyreportcont"/>
              <w:rPr>
                <w:lang w:val="en-US"/>
              </w:rPr>
            </w:pPr>
            <w:r>
              <w:rPr>
                <w:lang w:val="en-US"/>
              </w:rPr>
              <w:t>Neutron yield in the fuel Assembly region, 10</w:t>
            </w:r>
            <w:r>
              <w:rPr>
                <w:vertAlign w:val="superscript"/>
                <w:lang w:val="en-US"/>
              </w:rPr>
              <w:t>17</w:t>
            </w:r>
            <w:r>
              <w:rPr>
                <w:lang w:val="en-US"/>
              </w:rPr>
              <w:t xml:space="preserve"> n/s</w:t>
            </w:r>
          </w:p>
        </w:tc>
        <w:tc>
          <w:tcPr>
            <w:tcW w:w="1231" w:type="dxa"/>
            <w:shd w:val="clear" w:color="auto" w:fill="auto"/>
          </w:tcPr>
          <w:p w:rsidR="00AF7224" w:rsidRDefault="00AF7224" w:rsidP="001A2F9F">
            <w:pPr>
              <w:pStyle w:val="Zv-bodyreportcont"/>
              <w:jc w:val="center"/>
              <w:rPr>
                <w:lang w:val="en-US"/>
              </w:rPr>
            </w:pPr>
            <w:r>
              <w:rPr>
                <w:lang w:val="en-US"/>
              </w:rPr>
              <w:t>0.6</w:t>
            </w:r>
          </w:p>
        </w:tc>
        <w:tc>
          <w:tcPr>
            <w:tcW w:w="1231" w:type="dxa"/>
            <w:shd w:val="clear" w:color="auto" w:fill="auto"/>
          </w:tcPr>
          <w:p w:rsidR="00AF7224" w:rsidRDefault="00AF7224" w:rsidP="001A2F9F">
            <w:pPr>
              <w:pStyle w:val="Zv-bodyreportcont"/>
              <w:jc w:val="center"/>
              <w:rPr>
                <w:lang w:val="en-US"/>
              </w:rPr>
            </w:pPr>
            <w:r>
              <w:rPr>
                <w:lang w:val="en-US"/>
              </w:rPr>
              <w:t>1.8</w:t>
            </w:r>
          </w:p>
        </w:tc>
        <w:tc>
          <w:tcPr>
            <w:tcW w:w="1229" w:type="dxa"/>
            <w:shd w:val="clear" w:color="auto" w:fill="auto"/>
          </w:tcPr>
          <w:p w:rsidR="00AF7224" w:rsidRDefault="00AF7224" w:rsidP="001A2F9F">
            <w:pPr>
              <w:pStyle w:val="Zv-bodyreportcont"/>
              <w:jc w:val="center"/>
              <w:rPr>
                <w:lang w:val="en-US"/>
              </w:rPr>
            </w:pPr>
            <w:r>
              <w:rPr>
                <w:lang w:val="en-US"/>
              </w:rPr>
              <w:t>2.6</w:t>
            </w:r>
          </w:p>
        </w:tc>
      </w:tr>
    </w:tbl>
    <w:p w:rsidR="00AF7224" w:rsidRDefault="00AF7224" w:rsidP="00AF7224">
      <w:pPr>
        <w:pStyle w:val="Zv-bodyreport"/>
        <w:rPr>
          <w:lang w:val="en-US"/>
        </w:rPr>
      </w:pPr>
      <w:r>
        <w:rPr>
          <w:lang w:val="en-GB"/>
        </w:rPr>
        <w:t xml:space="preserve">Three constraints were used to select the acceptable configurations. The first is </w:t>
      </w:r>
      <w:r>
        <w:rPr>
          <w:i/>
          <w:iCs/>
          <w:lang w:val="en-GB"/>
        </w:rPr>
        <w:t>t</w:t>
      </w:r>
      <w:r>
        <w:rPr>
          <w:i/>
          <w:iCs/>
          <w:vertAlign w:val="subscript"/>
          <w:lang w:val="en-GB"/>
        </w:rPr>
        <w:t>kin</w:t>
      </w:r>
      <w:r>
        <w:rPr>
          <w:lang w:val="en-GB"/>
        </w:rPr>
        <w:t> / </w:t>
      </w:r>
      <w:r>
        <w:rPr>
          <w:i/>
          <w:iCs/>
          <w:lang w:val="en-GB"/>
        </w:rPr>
        <w:t>t</w:t>
      </w:r>
      <w:r>
        <w:rPr>
          <w:i/>
          <w:iCs/>
          <w:vertAlign w:val="subscript"/>
          <w:lang w:val="en-GB"/>
        </w:rPr>
        <w:t>gd</w:t>
      </w:r>
      <w:r>
        <w:rPr>
          <w:lang w:val="en-GB"/>
        </w:rPr>
        <w:t xml:space="preserve"> &lt; 1, where </w:t>
      </w:r>
      <w:r>
        <w:rPr>
          <w:i/>
          <w:iCs/>
          <w:lang w:val="en-GB"/>
        </w:rPr>
        <w:t>t</w:t>
      </w:r>
      <w:r>
        <w:rPr>
          <w:i/>
          <w:iCs/>
          <w:vertAlign w:val="subscript"/>
          <w:lang w:val="en-GB"/>
        </w:rPr>
        <w:t>kin</w:t>
      </w:r>
      <w:r>
        <w:rPr>
          <w:lang w:val="en-GB"/>
        </w:rPr>
        <w:t xml:space="preserve"> and </w:t>
      </w:r>
      <w:r>
        <w:rPr>
          <w:i/>
          <w:iCs/>
          <w:lang w:val="en-GB"/>
        </w:rPr>
        <w:t>t</w:t>
      </w:r>
      <w:r>
        <w:rPr>
          <w:i/>
          <w:iCs/>
          <w:vertAlign w:val="subscript"/>
          <w:lang w:val="en-GB"/>
        </w:rPr>
        <w:t>gd</w:t>
      </w:r>
      <w:r>
        <w:rPr>
          <w:lang w:val="en-GB"/>
        </w:rPr>
        <w:t xml:space="preserve"> are the confinement times of warm ions in the kinetic and gas-dynamic modes. This is a conservative condition under which micro-instability on warm ions does not arises. The second is </w:t>
      </w:r>
      <w:r>
        <w:rPr>
          <w:i/>
          <w:iCs/>
          <w:lang w:val="en-GB"/>
        </w:rPr>
        <w:t>T</w:t>
      </w:r>
      <w:r>
        <w:rPr>
          <w:i/>
          <w:iCs/>
          <w:vertAlign w:val="subscript"/>
          <w:lang w:val="en-GB"/>
        </w:rPr>
        <w:t>i</w:t>
      </w:r>
      <w:r>
        <w:rPr>
          <w:lang w:val="en-GB"/>
        </w:rPr>
        <w:t> / </w:t>
      </w:r>
      <w:r>
        <w:rPr>
          <w:i/>
          <w:iCs/>
          <w:lang w:val="en-GB"/>
        </w:rPr>
        <w:t>E</w:t>
      </w:r>
      <w:r>
        <w:rPr>
          <w:i/>
          <w:iCs/>
          <w:vertAlign w:val="subscript"/>
          <w:lang w:val="en-GB"/>
        </w:rPr>
        <w:t>inj</w:t>
      </w:r>
      <w:r>
        <w:rPr>
          <w:lang w:val="en-GB"/>
        </w:rPr>
        <w:t xml:space="preserve"> &gt; 0.01, where </w:t>
      </w:r>
      <w:r>
        <w:rPr>
          <w:i/>
          <w:iCs/>
          <w:lang w:val="en-GB"/>
        </w:rPr>
        <w:t>T</w:t>
      </w:r>
      <w:r>
        <w:rPr>
          <w:i/>
          <w:iCs/>
          <w:vertAlign w:val="subscript"/>
          <w:lang w:val="en-GB"/>
        </w:rPr>
        <w:t>i</w:t>
      </w:r>
      <w:r>
        <w:rPr>
          <w:lang w:val="en-GB"/>
        </w:rPr>
        <w:t xml:space="preserve"> is the ion temperature and </w:t>
      </w:r>
      <w:r>
        <w:rPr>
          <w:i/>
          <w:iCs/>
          <w:lang w:val="en-GB"/>
        </w:rPr>
        <w:t>E</w:t>
      </w:r>
      <w:r>
        <w:rPr>
          <w:i/>
          <w:iCs/>
          <w:vertAlign w:val="subscript"/>
          <w:lang w:val="en-GB"/>
        </w:rPr>
        <w:t>inj</w:t>
      </w:r>
      <w:r>
        <w:rPr>
          <w:lang w:val="en-GB"/>
        </w:rPr>
        <w:t xml:space="preserve"> is the energy of the atoms in the injected beams. The two-humped instability is suppressed under this condition. And the third is </w:t>
      </w:r>
      <w:r>
        <w:rPr>
          <w:i/>
          <w:iCs/>
          <w:lang w:val="en-GB"/>
        </w:rPr>
        <w:t>n</w:t>
      </w:r>
      <w:r>
        <w:rPr>
          <w:i/>
          <w:iCs/>
          <w:vertAlign w:val="subscript"/>
          <w:lang w:val="en-GB"/>
        </w:rPr>
        <w:t>w</w:t>
      </w:r>
      <w:r>
        <w:rPr>
          <w:lang w:val="en-GB"/>
        </w:rPr>
        <w:t> / </w:t>
      </w:r>
      <w:r>
        <w:rPr>
          <w:i/>
          <w:iCs/>
          <w:lang w:val="en-GB"/>
        </w:rPr>
        <w:t>n</w:t>
      </w:r>
      <w:r>
        <w:rPr>
          <w:i/>
          <w:iCs/>
          <w:vertAlign w:val="subscript"/>
          <w:lang w:val="en-GB"/>
        </w:rPr>
        <w:t>f</w:t>
      </w:r>
      <w:r>
        <w:rPr>
          <w:lang w:val="en-GB"/>
        </w:rPr>
        <w:t xml:space="preserve"> &gt; 0.1, where </w:t>
      </w:r>
      <w:r>
        <w:rPr>
          <w:i/>
          <w:iCs/>
          <w:lang w:val="en-GB"/>
        </w:rPr>
        <w:t>n</w:t>
      </w:r>
      <w:r>
        <w:rPr>
          <w:i/>
          <w:iCs/>
          <w:vertAlign w:val="subscript"/>
          <w:lang w:val="en-GB"/>
        </w:rPr>
        <w:t>w</w:t>
      </w:r>
      <w:r>
        <w:rPr>
          <w:lang w:val="en-GB"/>
        </w:rPr>
        <w:t xml:space="preserve"> and </w:t>
      </w:r>
      <w:r>
        <w:rPr>
          <w:i/>
          <w:iCs/>
          <w:lang w:val="en-GB"/>
        </w:rPr>
        <w:t>n</w:t>
      </w:r>
      <w:r>
        <w:rPr>
          <w:i/>
          <w:iCs/>
          <w:vertAlign w:val="subscript"/>
          <w:lang w:val="en-GB"/>
        </w:rPr>
        <w:t>f</w:t>
      </w:r>
      <w:r>
        <w:rPr>
          <w:lang w:val="en-GB"/>
        </w:rPr>
        <w:t xml:space="preserve"> are densities of warm and fast ions. If this condition is violated, drift-cone cyclotron (DCLC) instability can be driven by fast ions.</w:t>
      </w:r>
    </w:p>
    <w:p w:rsidR="00AF7224" w:rsidRDefault="00AF7224" w:rsidP="00AF7224">
      <w:pPr>
        <w:pStyle w:val="Zv-TitleReferences-en"/>
      </w:pPr>
      <w:r>
        <w:t>References</w:t>
      </w:r>
    </w:p>
    <w:p w:rsidR="00AF7224" w:rsidRPr="00AF7224" w:rsidRDefault="00AF7224" w:rsidP="00AF7224">
      <w:pPr>
        <w:pStyle w:val="Zv-References-en"/>
      </w:pPr>
      <w:r w:rsidRPr="00AF7224">
        <w:t>I.V.Shamanin, S.V.Bedenko, Yu.B.Chertkov, Thorium-loaded low-power reactor installation operated with super-long fuel residence time. Izvestiya Wysshikh Uchebnykh Zawedeniy, Yadernaya Energetika 2, 121–132 (2016) (in Russian).</w:t>
      </w:r>
    </w:p>
    <w:p w:rsidR="00AF7224" w:rsidRPr="00AF7224" w:rsidRDefault="00AF7224" w:rsidP="00AF7224">
      <w:pPr>
        <w:pStyle w:val="Zv-References-en"/>
      </w:pPr>
      <w:r w:rsidRPr="00AF7224">
        <w:t>A.Arzhannikov, S.Bedenko, V.Shmakov, V.Knyshev, I.Lutsik, V.Prikhodko, I.Shamanin. Gas-cooled thorium reactor at various fuel loadings and its modification by a plasma source of extra neutrons. NUCL SCI TECH (2019) 30:181. DOI: 10.1007/s41365-019-0707-y</w:t>
      </w:r>
    </w:p>
    <w:p w:rsidR="00AF7224" w:rsidRPr="00AF7224" w:rsidRDefault="00AF7224" w:rsidP="00AF7224">
      <w:pPr>
        <w:pStyle w:val="Zv-References-en"/>
      </w:pPr>
      <w:r w:rsidRPr="00AF7224">
        <w:t>D.V.Yurov, V.V.Prikhodko, and Yu.A.Tsidulko. Nonstationary Model of an Axisymmetric Mirror Trap with Nonequilibrium Plasma. Plasma Physics Reports, v. 42, n. 3, pp. 210-225 (2016).</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E20" w:rsidRDefault="00176E20">
      <w:r>
        <w:separator/>
      </w:r>
    </w:p>
  </w:endnote>
  <w:endnote w:type="continuationSeparator" w:id="0">
    <w:p w:rsidR="00176E20" w:rsidRDefault="00176E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D186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D186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306C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E20" w:rsidRDefault="00176E20">
      <w:r>
        <w:separator/>
      </w:r>
    </w:p>
  </w:footnote>
  <w:footnote w:type="continuationSeparator" w:id="0">
    <w:p w:rsidR="00176E20" w:rsidRDefault="00176E20">
      <w:r>
        <w:continuationSeparator/>
      </w:r>
    </w:p>
  </w:footnote>
  <w:footnote w:id="1">
    <w:p w:rsidR="008E2CA0" w:rsidRPr="008E2CA0" w:rsidRDefault="008E2CA0">
      <w:pPr>
        <w:pStyle w:val="a8"/>
        <w:rPr>
          <w:lang w:val="en-US"/>
        </w:rPr>
      </w:pPr>
      <w:r w:rsidRPr="008E2CA0">
        <w:rPr>
          <w:rStyle w:val="aa"/>
          <w:sz w:val="22"/>
          <w:lang w:val="en-US"/>
        </w:rPr>
        <w:t>*)</w:t>
      </w:r>
      <w:r w:rsidRPr="008E2CA0">
        <w:rPr>
          <w:sz w:val="22"/>
          <w:lang w:val="en-US"/>
        </w:rPr>
        <w:t xml:space="preserve">  </w:t>
      </w:r>
      <w:hyperlink r:id="rId1" w:history="1">
        <w:r w:rsidRPr="009306C8">
          <w:rPr>
            <w:rStyle w:val="a7"/>
            <w:sz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FD186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141500"/>
    <w:multiLevelType w:val="multilevel"/>
    <w:tmpl w:val="C2DCEBC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2"/>
  </w:num>
  <w:num w:numId="6">
    <w:abstractNumId w:val="0"/>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176E20"/>
    <w:rsid w:val="00043701"/>
    <w:rsid w:val="000C657D"/>
    <w:rsid w:val="000C7078"/>
    <w:rsid w:val="000D76E9"/>
    <w:rsid w:val="000E495B"/>
    <w:rsid w:val="00176E20"/>
    <w:rsid w:val="001C0CCB"/>
    <w:rsid w:val="00205708"/>
    <w:rsid w:val="00220629"/>
    <w:rsid w:val="0023083F"/>
    <w:rsid w:val="00247225"/>
    <w:rsid w:val="00317E46"/>
    <w:rsid w:val="003800F3"/>
    <w:rsid w:val="003A606B"/>
    <w:rsid w:val="003B5B93"/>
    <w:rsid w:val="003E0981"/>
    <w:rsid w:val="00401388"/>
    <w:rsid w:val="0043297E"/>
    <w:rsid w:val="00446025"/>
    <w:rsid w:val="004A77D1"/>
    <w:rsid w:val="004B72AA"/>
    <w:rsid w:val="004F4E29"/>
    <w:rsid w:val="005074E3"/>
    <w:rsid w:val="0051112B"/>
    <w:rsid w:val="00567C6F"/>
    <w:rsid w:val="00573BAD"/>
    <w:rsid w:val="0058676C"/>
    <w:rsid w:val="005F764D"/>
    <w:rsid w:val="00654A7B"/>
    <w:rsid w:val="006B5B24"/>
    <w:rsid w:val="00732A2E"/>
    <w:rsid w:val="007B09C9"/>
    <w:rsid w:val="007B6378"/>
    <w:rsid w:val="007E06CE"/>
    <w:rsid w:val="00802D35"/>
    <w:rsid w:val="008306AF"/>
    <w:rsid w:val="008520F9"/>
    <w:rsid w:val="008850EF"/>
    <w:rsid w:val="008E2CA0"/>
    <w:rsid w:val="00906FF7"/>
    <w:rsid w:val="009306C8"/>
    <w:rsid w:val="00AE6185"/>
    <w:rsid w:val="00AF7224"/>
    <w:rsid w:val="00B622ED"/>
    <w:rsid w:val="00B9584E"/>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D186B"/>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7224"/>
    <w:rPr>
      <w:color w:val="00000A"/>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qForma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AF7224"/>
    <w:rPr>
      <w:color w:val="0000FF" w:themeColor="hyperlink"/>
      <w:u w:val="single"/>
    </w:rPr>
  </w:style>
  <w:style w:type="paragraph" w:styleId="a8">
    <w:name w:val="footnote text"/>
    <w:basedOn w:val="a"/>
    <w:link w:val="a9"/>
    <w:rsid w:val="008E2CA0"/>
    <w:rPr>
      <w:sz w:val="20"/>
      <w:szCs w:val="20"/>
    </w:rPr>
  </w:style>
  <w:style w:type="character" w:customStyle="1" w:styleId="a9">
    <w:name w:val="Текст сноски Знак"/>
    <w:basedOn w:val="a0"/>
    <w:link w:val="a8"/>
    <w:rsid w:val="008E2CA0"/>
    <w:rPr>
      <w:color w:val="00000A"/>
    </w:rPr>
  </w:style>
  <w:style w:type="character" w:styleId="aa">
    <w:name w:val="footnote reference"/>
    <w:basedOn w:val="a0"/>
    <w:rsid w:val="008E2CA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V.Prikhodko@inp.nsk.s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Cm/ru/KC-Prikhodko.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C09DF8-A4F7-4DF9-8FD9-D75550000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3</TotalTime>
  <Pages>1</Pages>
  <Words>560</Words>
  <Characters>2926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SIMULATION OF A THERMONUCLEAR NEUTRON SOURCE BASED ON AN AXIALLY SYMMETRIC MIRROR TRAP FOR A THORIUM HYBRID REACTOR</dc:title>
  <dc:creator>sato</dc:creator>
  <cp:lastModifiedBy>Сатунин</cp:lastModifiedBy>
  <cp:revision>3</cp:revision>
  <cp:lastPrinted>1601-01-01T00:00:00Z</cp:lastPrinted>
  <dcterms:created xsi:type="dcterms:W3CDTF">2020-02-28T21:27:00Z</dcterms:created>
  <dcterms:modified xsi:type="dcterms:W3CDTF">2020-05-01T14:19:00Z</dcterms:modified>
</cp:coreProperties>
</file>