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2" w:rsidRPr="00E12942" w:rsidRDefault="00E12942" w:rsidP="00E12942">
      <w:pPr>
        <w:pStyle w:val="Zv-Titlereport"/>
      </w:pPr>
      <w:r w:rsidRPr="007837BC">
        <w:t>Газодинамические особенности взаимодействия высоковольтного поперечного разряд</w:t>
      </w:r>
      <w:r>
        <w:t>а со сверхзвуковым потоком газа</w:t>
      </w:r>
    </w:p>
    <w:p w:rsidR="00E12942" w:rsidRPr="007837BC" w:rsidRDefault="00E12942" w:rsidP="00E12942">
      <w:pPr>
        <w:pStyle w:val="Zv-Author"/>
        <w:rPr>
          <w:vertAlign w:val="superscript"/>
        </w:rPr>
      </w:pPr>
      <w:r w:rsidRPr="007837BC">
        <w:rPr>
          <w:rFonts w:eastAsia="Calibri"/>
          <w:vertAlign w:val="superscript"/>
        </w:rPr>
        <w:t>1</w:t>
      </w:r>
      <w:r w:rsidRPr="007837BC">
        <w:rPr>
          <w:rFonts w:eastAsia="Calibri"/>
        </w:rPr>
        <w:t>Минаев И.М.</w:t>
      </w:r>
      <w:r w:rsidRPr="00E12942">
        <w:t xml:space="preserve">, </w:t>
      </w:r>
      <w:r w:rsidRPr="007837BC">
        <w:rPr>
          <w:vertAlign w:val="superscript"/>
        </w:rPr>
        <w:t>2</w:t>
      </w:r>
      <w:r w:rsidRPr="007837BC">
        <w:t>Ч</w:t>
      </w:r>
      <w:r w:rsidRPr="007837BC">
        <w:rPr>
          <w:rFonts w:eastAsia="Calibri"/>
        </w:rPr>
        <w:t>ерников В.А.</w:t>
      </w:r>
    </w:p>
    <w:p w:rsidR="00E12942" w:rsidRPr="00841BB5" w:rsidRDefault="00E12942" w:rsidP="00E12942">
      <w:pPr>
        <w:pStyle w:val="Zv-Organization"/>
        <w:rPr>
          <w:rFonts w:eastAsia="Calibri"/>
          <w:lang w:eastAsia="en-US"/>
        </w:rPr>
      </w:pPr>
      <w:r w:rsidRPr="00841BB5">
        <w:rPr>
          <w:rFonts w:eastAsia="Calibri"/>
          <w:vertAlign w:val="superscript"/>
          <w:lang w:eastAsia="en-US"/>
        </w:rPr>
        <w:t>1</w:t>
      </w:r>
      <w:r w:rsidRPr="00841BB5">
        <w:rPr>
          <w:rFonts w:eastAsia="Calibri"/>
          <w:lang w:eastAsia="en-US"/>
        </w:rPr>
        <w:t>Институт</w:t>
      </w:r>
      <w:r w:rsidRPr="00A11A6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</w:t>
      </w:r>
      <w:r w:rsidRPr="00841BB5">
        <w:rPr>
          <w:rFonts w:eastAsia="Calibri"/>
          <w:lang w:eastAsia="en-US"/>
        </w:rPr>
        <w:t>бщей</w:t>
      </w:r>
      <w:r>
        <w:rPr>
          <w:rFonts w:eastAsia="Calibri"/>
          <w:lang w:eastAsia="en-US"/>
        </w:rPr>
        <w:t xml:space="preserve"> ф</w:t>
      </w:r>
      <w:r w:rsidRPr="00841BB5">
        <w:rPr>
          <w:rFonts w:eastAsia="Calibri"/>
          <w:lang w:eastAsia="en-US"/>
        </w:rPr>
        <w:t>изики им. А.М.</w:t>
      </w:r>
      <w:r w:rsidR="008A2EA2">
        <w:rPr>
          <w:rFonts w:eastAsia="Calibri"/>
          <w:lang w:val="en-US" w:eastAsia="en-US"/>
        </w:rPr>
        <w:t xml:space="preserve"> </w:t>
      </w:r>
      <w:r w:rsidRPr="00841BB5">
        <w:rPr>
          <w:rFonts w:eastAsia="Calibri"/>
          <w:lang w:eastAsia="en-US"/>
        </w:rPr>
        <w:t xml:space="preserve">Прохорова РАН, </w:t>
      </w:r>
      <w:r>
        <w:rPr>
          <w:rFonts w:eastAsia="Calibri"/>
          <w:lang w:eastAsia="en-US"/>
        </w:rPr>
        <w:t xml:space="preserve">г. </w:t>
      </w:r>
      <w:r w:rsidRPr="00841BB5">
        <w:rPr>
          <w:rFonts w:eastAsia="Calibri"/>
          <w:lang w:eastAsia="en-US"/>
        </w:rPr>
        <w:t>Москва, Россия</w:t>
      </w:r>
      <w:r>
        <w:rPr>
          <w:rFonts w:eastAsia="Calibri"/>
          <w:lang w:eastAsia="en-US"/>
        </w:rPr>
        <w:br/>
      </w:r>
      <w:r w:rsidRPr="00841BB5">
        <w:rPr>
          <w:rFonts w:eastAsia="Calibri"/>
          <w:vertAlign w:val="superscript"/>
          <w:lang w:eastAsia="en-US"/>
        </w:rPr>
        <w:t>2</w:t>
      </w:r>
      <w:r w:rsidRPr="00841BB5">
        <w:rPr>
          <w:rFonts w:eastAsia="Calibri"/>
          <w:lang w:eastAsia="en-US"/>
        </w:rPr>
        <w:t>Московский</w:t>
      </w:r>
      <w:r>
        <w:rPr>
          <w:rFonts w:eastAsia="Calibri"/>
          <w:lang w:eastAsia="en-US"/>
        </w:rPr>
        <w:t xml:space="preserve"> г</w:t>
      </w:r>
      <w:r w:rsidRPr="00841BB5">
        <w:rPr>
          <w:rFonts w:eastAsia="Calibri"/>
          <w:lang w:eastAsia="en-US"/>
        </w:rPr>
        <w:t xml:space="preserve">осударственный </w:t>
      </w:r>
      <w:r>
        <w:rPr>
          <w:rFonts w:eastAsia="Calibri"/>
          <w:lang w:eastAsia="en-US"/>
        </w:rPr>
        <w:t>у</w:t>
      </w:r>
      <w:r w:rsidRPr="00841BB5">
        <w:rPr>
          <w:rFonts w:eastAsia="Calibri"/>
          <w:lang w:eastAsia="en-US"/>
        </w:rPr>
        <w:t xml:space="preserve">ниверситет им. М.В. Ломоносова, </w:t>
      </w:r>
      <w:r>
        <w:rPr>
          <w:rFonts w:eastAsia="Calibri"/>
          <w:lang w:eastAsia="en-US"/>
        </w:rPr>
        <w:t xml:space="preserve">г. </w:t>
      </w:r>
      <w:r w:rsidRPr="00841BB5">
        <w:rPr>
          <w:rFonts w:eastAsia="Calibri"/>
          <w:lang w:eastAsia="en-US"/>
        </w:rPr>
        <w:t>Москва, Россия</w:t>
      </w:r>
    </w:p>
    <w:p w:rsidR="00E12942" w:rsidRPr="00841BB5" w:rsidRDefault="00E12942" w:rsidP="00E12942">
      <w:pPr>
        <w:pStyle w:val="Zv-bodyreport"/>
        <w:rPr>
          <w:rFonts w:eastAsia="Calibri"/>
          <w:lang w:eastAsia="en-US"/>
        </w:rPr>
      </w:pPr>
      <w:r w:rsidRPr="00841BB5">
        <w:rPr>
          <w:rFonts w:eastAsia="Calibri"/>
          <w:lang w:eastAsia="en-US"/>
        </w:rPr>
        <w:t>Разряд с взаимно перпендикулярной ориентацией прикладываемого электрического поля и потока является наиболее общим случаем электрических разрядов в потоках газа. Именно для таких разрядов наиболее существенно влияние потока, приводящее к нестационарному характеру горения разрядов постоянного тока [1]. Как следствие, характеристики разряда нельзя рассматривать изолированно, а только с учетом характеристик внешней цепи. В данной работе рассматривается роль газодинамического фактора в формировании разряда при истечения газа в затопленное пространство (рис.</w:t>
      </w:r>
      <w:r w:rsidRPr="00A11A6D">
        <w:rPr>
          <w:rFonts w:eastAsia="Calibri"/>
          <w:lang w:eastAsia="en-US"/>
        </w:rPr>
        <w:t xml:space="preserve"> </w:t>
      </w:r>
      <w:r w:rsidRPr="00841BB5">
        <w:rPr>
          <w:rFonts w:eastAsia="Calibri"/>
          <w:lang w:eastAsia="en-US"/>
        </w:rPr>
        <w:t>1) [1,</w:t>
      </w:r>
      <w:r>
        <w:rPr>
          <w:rFonts w:eastAsia="Calibri"/>
          <w:lang w:val="en-US" w:eastAsia="en-US"/>
        </w:rPr>
        <w:t> </w:t>
      </w:r>
      <w:r w:rsidRPr="00841BB5">
        <w:rPr>
          <w:rFonts w:eastAsia="Calibri"/>
          <w:lang w:eastAsia="en-US"/>
        </w:rPr>
        <w:t xml:space="preserve">2]. при степени нерасчетности струи </w:t>
      </w:r>
      <w:r w:rsidRPr="00841BB5">
        <w:rPr>
          <w:rFonts w:eastAsia="Calibri"/>
          <w:i/>
          <w:color w:val="000000"/>
          <w:lang w:eastAsia="en-US"/>
        </w:rPr>
        <w:t>n</w:t>
      </w:r>
      <w:r w:rsidRPr="00841BB5">
        <w:rPr>
          <w:rFonts w:eastAsia="Calibri"/>
          <w:lang w:eastAsia="en-US"/>
        </w:rPr>
        <w:t xml:space="preserve"> </w:t>
      </w:r>
      <w:r w:rsidRPr="00841BB5">
        <w:rPr>
          <w:rFonts w:eastAsia="Calibri"/>
          <w:lang w:eastAsia="en-US"/>
        </w:rPr>
        <w:sym w:font="Symbol" w:char="F0B3"/>
      </w:r>
      <w:r w:rsidRPr="00841BB5">
        <w:rPr>
          <w:rFonts w:eastAsia="Calibri"/>
          <w:lang w:eastAsia="en-US"/>
        </w:rPr>
        <w:t xml:space="preserve"> 4 </w:t>
      </w:r>
      <w:r w:rsidRPr="00841BB5">
        <w:rPr>
          <w:rFonts w:eastAsia="Calibri"/>
          <w:i/>
          <w:color w:val="000000"/>
          <w:lang w:eastAsia="en-US"/>
        </w:rPr>
        <w:t xml:space="preserve">n </w:t>
      </w:r>
      <w:r w:rsidRPr="00841BB5">
        <w:rPr>
          <w:rFonts w:eastAsia="Calibri"/>
          <w:color w:val="000000"/>
          <w:lang w:eastAsia="en-US"/>
        </w:rPr>
        <w:sym w:font="Symbol" w:char="F0BA"/>
      </w:r>
      <w:r w:rsidRPr="00841BB5">
        <w:rPr>
          <w:rFonts w:eastAsia="Calibri"/>
          <w:color w:val="000000"/>
          <w:lang w:eastAsia="en-US"/>
        </w:rPr>
        <w:t xml:space="preserve"> </w:t>
      </w:r>
      <w:r w:rsidRPr="00841BB5">
        <w:rPr>
          <w:rFonts w:eastAsia="Calibri"/>
          <w:i/>
          <w:color w:val="000000"/>
          <w:lang w:eastAsia="en-US"/>
        </w:rPr>
        <w:t>р</w:t>
      </w:r>
      <w:r w:rsidRPr="00841BB5">
        <w:rPr>
          <w:rFonts w:eastAsia="Calibri"/>
          <w:i/>
          <w:color w:val="000000"/>
          <w:lang w:eastAsia="en-US"/>
        </w:rPr>
        <w:sym w:font="Symbol" w:char="F02A"/>
      </w:r>
      <w:r w:rsidRPr="00841BB5">
        <w:rPr>
          <w:rFonts w:eastAsia="Calibri"/>
          <w:b/>
          <w:bCs/>
          <w:lang w:eastAsia="en-US"/>
        </w:rPr>
        <w:t> </w:t>
      </w:r>
      <w:r w:rsidRPr="00841BB5">
        <w:rPr>
          <w:rFonts w:eastAsia="Calibri"/>
          <w:i/>
          <w:color w:val="000000"/>
          <w:lang w:eastAsia="en-US"/>
        </w:rPr>
        <w:t>/</w:t>
      </w:r>
      <w:r w:rsidRPr="00841BB5">
        <w:rPr>
          <w:rFonts w:eastAsia="Calibri"/>
          <w:b/>
          <w:bCs/>
          <w:lang w:eastAsia="en-US"/>
        </w:rPr>
        <w:t> </w:t>
      </w:r>
      <w:r w:rsidRPr="00841BB5">
        <w:rPr>
          <w:rFonts w:eastAsia="Calibri"/>
          <w:i/>
          <w:color w:val="000000"/>
          <w:lang w:eastAsia="en-US"/>
        </w:rPr>
        <w:t xml:space="preserve">р </w:t>
      </w:r>
      <w:r w:rsidRPr="00841BB5">
        <w:rPr>
          <w:rFonts w:eastAsia="Calibri"/>
          <w:color w:val="000000"/>
          <w:lang w:eastAsia="en-US"/>
        </w:rPr>
        <w:t>(</w:t>
      </w:r>
      <w:r w:rsidRPr="00841BB5">
        <w:rPr>
          <w:rFonts w:eastAsia="Calibri"/>
          <w:i/>
          <w:color w:val="000000"/>
          <w:lang w:eastAsia="en-US"/>
        </w:rPr>
        <w:t>р</w:t>
      </w:r>
      <w:r w:rsidRPr="00841BB5">
        <w:rPr>
          <w:rFonts w:eastAsia="Calibri"/>
          <w:i/>
          <w:color w:val="000000"/>
          <w:lang w:eastAsia="en-US"/>
        </w:rPr>
        <w:sym w:font="Symbol" w:char="F02A"/>
      </w:r>
      <w:r w:rsidRPr="00841BB5">
        <w:rPr>
          <w:rFonts w:eastAsia="Calibri"/>
          <w:i/>
          <w:color w:val="000000"/>
          <w:vertAlign w:val="subscript"/>
          <w:lang w:eastAsia="en-US"/>
        </w:rPr>
        <w:t xml:space="preserve"> </w:t>
      </w:r>
      <w:r w:rsidRPr="00841BB5">
        <w:rPr>
          <w:rFonts w:eastAsia="Calibri"/>
          <w:lang w:eastAsia="en-US"/>
        </w:rPr>
        <w:t>–</w:t>
      </w:r>
      <w:r w:rsidRPr="00841BB5">
        <w:rPr>
          <w:rFonts w:eastAsia="Calibri"/>
          <w:i/>
          <w:color w:val="000000"/>
          <w:lang w:eastAsia="en-US"/>
        </w:rPr>
        <w:t xml:space="preserve"> </w:t>
      </w:r>
      <w:r w:rsidRPr="00841BB5">
        <w:rPr>
          <w:rFonts w:eastAsia="Calibri"/>
          <w:color w:val="000000"/>
          <w:lang w:eastAsia="en-US"/>
        </w:rPr>
        <w:t>давление на срезе сопла).</w:t>
      </w:r>
      <w:r w:rsidRPr="00841BB5">
        <w:rPr>
          <w:rFonts w:ascii="Calibri" w:eastAsia="Calibri" w:hAnsi="Calibri"/>
          <w:lang w:eastAsia="en-US"/>
        </w:rPr>
        <w:t xml:space="preserve"> </w:t>
      </w:r>
      <w:r w:rsidRPr="00841BB5">
        <w:rPr>
          <w:rFonts w:eastAsia="Calibri"/>
          <w:lang w:eastAsia="en-US"/>
        </w:rPr>
        <w:t>Газодинамическая структура потока носит сложный характер, и представляет собой систему, в которой имеются замкнутые области, скорость потока и давление в которых претерпевают существенные изменения. В данной работе рассматривается влияние параметров потока на процесс формирования устойчивой стадии разряда (рис.</w:t>
      </w:r>
      <w:r>
        <w:rPr>
          <w:rFonts w:eastAsia="Calibri"/>
          <w:lang w:eastAsia="en-US"/>
        </w:rPr>
        <w:t xml:space="preserve"> </w:t>
      </w:r>
      <w:r w:rsidRPr="00841BB5">
        <w:rPr>
          <w:rFonts w:eastAsia="Calibri"/>
          <w:lang w:eastAsia="en-US"/>
        </w:rPr>
        <w:t xml:space="preserve">2). </w:t>
      </w:r>
      <w:r w:rsidRPr="00841BB5">
        <w:rPr>
          <w:rFonts w:eastAsia="Calibri"/>
          <w:color w:val="000000"/>
          <w:lang w:eastAsia="en-US"/>
        </w:rPr>
        <w:t xml:space="preserve">Анализ картины поля давления в области горения показал, что стационарная форма разряда в потоке </w:t>
      </w:r>
      <w:r w:rsidRPr="00841BB5">
        <w:rPr>
          <w:rFonts w:eastAsia="Calibri"/>
          <w:lang w:eastAsia="en-US"/>
        </w:rPr>
        <w:t>(рис.</w:t>
      </w:r>
      <w:r>
        <w:rPr>
          <w:rFonts w:eastAsia="Calibri"/>
          <w:lang w:eastAsia="en-US"/>
        </w:rPr>
        <w:t xml:space="preserve"> </w:t>
      </w:r>
      <w:r w:rsidRPr="00841BB5">
        <w:rPr>
          <w:rFonts w:eastAsia="Calibri"/>
          <w:lang w:eastAsia="en-US"/>
        </w:rPr>
        <w:t xml:space="preserve">2 [2]) </w:t>
      </w:r>
      <w:r w:rsidRPr="00841BB5">
        <w:rPr>
          <w:rFonts w:eastAsia="Calibri"/>
          <w:color w:val="000000"/>
          <w:lang w:eastAsia="en-US"/>
        </w:rPr>
        <w:t xml:space="preserve">определяется давлением газа на границе струи и скачка уплотнения в области смешения, а характерная длина разрядной области расстоянием </w:t>
      </w:r>
      <w:r w:rsidRPr="00841BB5">
        <w:rPr>
          <w:rFonts w:eastAsia="Calibri"/>
          <w:lang w:eastAsia="en-US"/>
        </w:rPr>
        <w:t>диска Маха от кромки сопла.</w:t>
      </w:r>
    </w:p>
    <w:p w:rsidR="00E12942" w:rsidRDefault="00E12942" w:rsidP="00E12942">
      <w:pPr>
        <w:spacing w:after="200"/>
        <w:ind w:firstLine="708"/>
        <w:jc w:val="both"/>
        <w:rPr>
          <w:rFonts w:eastAsia="Calibri"/>
          <w:sz w:val="22"/>
          <w:szCs w:val="22"/>
          <w:lang w:val="en-US"/>
        </w:rPr>
      </w:pPr>
      <w:r>
        <w:rPr>
          <w:rFonts w:eastAsia="Calibri"/>
          <w:noProof/>
        </w:rPr>
        <w:drawing>
          <wp:inline distT="0" distB="0" distL="0" distR="0">
            <wp:extent cx="4067175" cy="23431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2942" w:rsidRPr="00E12942" w:rsidRDefault="00E12942" w:rsidP="00E12942">
      <w:pPr>
        <w:spacing w:after="200"/>
        <w:ind w:left="567" w:right="566"/>
        <w:jc w:val="both"/>
        <w:rPr>
          <w:rFonts w:eastAsia="Calibri"/>
          <w:sz w:val="22"/>
          <w:szCs w:val="22"/>
        </w:rPr>
      </w:pPr>
      <w:r w:rsidRPr="00E12942">
        <w:rPr>
          <w:rFonts w:eastAsia="Calibri"/>
          <w:b/>
          <w:sz w:val="22"/>
          <w:szCs w:val="22"/>
        </w:rPr>
        <w:t>Рис. 1</w:t>
      </w:r>
      <w:r w:rsidRPr="00E12942">
        <w:rPr>
          <w:rFonts w:eastAsia="Calibri"/>
          <w:sz w:val="22"/>
          <w:szCs w:val="22"/>
        </w:rPr>
        <w:t xml:space="preserve">. а – схема течения в начальном участке сверхзвуковой недорасширенной струи: </w:t>
      </w:r>
      <w:r w:rsidRPr="00E12942">
        <w:rPr>
          <w:rFonts w:eastAsia="Calibri"/>
          <w:sz w:val="22"/>
          <w:szCs w:val="22"/>
        </w:rPr>
        <w:br/>
      </w:r>
      <w:r w:rsidRPr="00E12942">
        <w:rPr>
          <w:rFonts w:eastAsia="Calibri"/>
          <w:i/>
          <w:iCs/>
          <w:sz w:val="22"/>
          <w:szCs w:val="22"/>
        </w:rPr>
        <w:t xml:space="preserve">1 </w:t>
      </w:r>
      <w:r w:rsidRPr="00E12942">
        <w:rPr>
          <w:rFonts w:eastAsia="Calibri"/>
          <w:sz w:val="22"/>
          <w:szCs w:val="22"/>
        </w:rPr>
        <w:t xml:space="preserve">– сопло, </w:t>
      </w:r>
      <w:r w:rsidRPr="00E12942">
        <w:rPr>
          <w:rFonts w:eastAsia="Calibri"/>
          <w:i/>
          <w:iCs/>
          <w:sz w:val="22"/>
          <w:szCs w:val="22"/>
        </w:rPr>
        <w:t xml:space="preserve">2 – </w:t>
      </w:r>
      <w:r w:rsidRPr="00E12942">
        <w:rPr>
          <w:rFonts w:eastAsia="Calibri"/>
          <w:sz w:val="22"/>
          <w:szCs w:val="22"/>
        </w:rPr>
        <w:t xml:space="preserve">слой смешения (δ – толщина слоя смешения), </w:t>
      </w:r>
      <w:r w:rsidRPr="00E12942">
        <w:rPr>
          <w:rFonts w:eastAsia="Calibri"/>
          <w:i/>
          <w:iCs/>
          <w:sz w:val="22"/>
          <w:szCs w:val="22"/>
        </w:rPr>
        <w:t xml:space="preserve">3 </w:t>
      </w:r>
      <w:r w:rsidRPr="00E12942">
        <w:rPr>
          <w:rFonts w:eastAsia="Calibri"/>
          <w:sz w:val="22"/>
          <w:szCs w:val="22"/>
        </w:rPr>
        <w:t xml:space="preserve">– диск Маха, </w:t>
      </w:r>
      <w:r w:rsidRPr="00E12942">
        <w:rPr>
          <w:rFonts w:eastAsia="Calibri"/>
          <w:sz w:val="22"/>
          <w:szCs w:val="22"/>
        </w:rPr>
        <w:br/>
      </w:r>
      <w:r w:rsidRPr="00E12942">
        <w:rPr>
          <w:rFonts w:eastAsia="Calibri"/>
          <w:i/>
          <w:iCs/>
          <w:sz w:val="22"/>
          <w:szCs w:val="22"/>
        </w:rPr>
        <w:t>4</w:t>
      </w:r>
      <w:r w:rsidRPr="00E12942">
        <w:rPr>
          <w:rFonts w:eastAsia="Calibri"/>
          <w:sz w:val="22"/>
          <w:szCs w:val="22"/>
        </w:rPr>
        <w:t xml:space="preserve">, </w:t>
      </w:r>
      <w:r w:rsidRPr="00E12942">
        <w:rPr>
          <w:rFonts w:eastAsia="Calibri"/>
          <w:i/>
          <w:iCs/>
          <w:sz w:val="22"/>
          <w:szCs w:val="22"/>
        </w:rPr>
        <w:t xml:space="preserve">5 </w:t>
      </w:r>
      <w:r w:rsidRPr="00E12942">
        <w:rPr>
          <w:rFonts w:eastAsia="Calibri"/>
          <w:sz w:val="22"/>
          <w:szCs w:val="22"/>
        </w:rPr>
        <w:t xml:space="preserve">– висячий и отраженный скачки уплотнения, </w:t>
      </w:r>
      <w:r w:rsidRPr="00E12942">
        <w:rPr>
          <w:rFonts w:eastAsia="Calibri"/>
          <w:i/>
          <w:iCs/>
          <w:sz w:val="22"/>
          <w:szCs w:val="22"/>
        </w:rPr>
        <w:t xml:space="preserve">6 </w:t>
      </w:r>
      <w:r w:rsidRPr="00E12942">
        <w:rPr>
          <w:rFonts w:eastAsia="Calibri"/>
          <w:sz w:val="22"/>
          <w:szCs w:val="22"/>
        </w:rPr>
        <w:t xml:space="preserve">– слой сдвига, формирующийся за тройной точкой пересечения скачков уплотнения 3; </w:t>
      </w:r>
      <w:r w:rsidRPr="00E12942">
        <w:rPr>
          <w:rFonts w:eastAsia="Calibri"/>
          <w:i/>
          <w:iCs/>
          <w:sz w:val="22"/>
          <w:szCs w:val="22"/>
        </w:rPr>
        <w:t xml:space="preserve">7 </w:t>
      </w:r>
      <w:r w:rsidRPr="00E12942">
        <w:rPr>
          <w:rFonts w:eastAsia="Calibri"/>
          <w:sz w:val="22"/>
          <w:szCs w:val="22"/>
        </w:rPr>
        <w:t xml:space="preserve">– веер волн разрежения, </w:t>
      </w:r>
      <w:r w:rsidRPr="00E12942">
        <w:rPr>
          <w:rFonts w:eastAsia="Calibri"/>
          <w:sz w:val="22"/>
          <w:szCs w:val="22"/>
        </w:rPr>
        <w:br/>
      </w:r>
      <w:r w:rsidRPr="00E12942">
        <w:rPr>
          <w:rFonts w:eastAsia="Calibri"/>
          <w:i/>
          <w:iCs/>
          <w:sz w:val="22"/>
          <w:szCs w:val="22"/>
        </w:rPr>
        <w:t>x</w:t>
      </w:r>
      <w:r w:rsidRPr="00E12942">
        <w:rPr>
          <w:rFonts w:eastAsia="Calibri"/>
          <w:sz w:val="22"/>
          <w:szCs w:val="22"/>
        </w:rPr>
        <w:t>1 – длина первой ячейки струи, I и II – внутренняя и внешняя поверхности слоя смешения на границе струи, III и IV – середина слоя смешения и условная граница струи; б – устойчивая форма разряда в потоке.</w:t>
      </w:r>
    </w:p>
    <w:p w:rsidR="00E12942" w:rsidRPr="00A11A6D" w:rsidRDefault="00E12942" w:rsidP="00E12942">
      <w:pPr>
        <w:pStyle w:val="Zv-TitleReferences-ru"/>
        <w:rPr>
          <w:rFonts w:eastAsia="Calibri"/>
        </w:rPr>
      </w:pPr>
      <w:r w:rsidRPr="007837BC">
        <w:rPr>
          <w:rFonts w:eastAsia="Calibri"/>
        </w:rPr>
        <w:t>Литература</w:t>
      </w:r>
    </w:p>
    <w:p w:rsidR="00E12942" w:rsidRPr="007837BC" w:rsidRDefault="00E12942" w:rsidP="00E12942">
      <w:pPr>
        <w:pStyle w:val="Zv-References-ru"/>
        <w:rPr>
          <w:rFonts w:eastAsia="Calibri"/>
        </w:rPr>
      </w:pPr>
      <w:r w:rsidRPr="007837BC">
        <w:rPr>
          <w:rFonts w:eastAsia="Calibri"/>
        </w:rPr>
        <w:t>Алферов В.И. // Изв. РАН. МЖГ. 2004. №</w:t>
      </w:r>
      <w:r>
        <w:rPr>
          <w:rFonts w:eastAsia="Calibri"/>
        </w:rPr>
        <w:t xml:space="preserve"> </w:t>
      </w:r>
      <w:r w:rsidRPr="007837BC">
        <w:rPr>
          <w:rFonts w:eastAsia="Calibri"/>
        </w:rPr>
        <w:t>6. С.</w:t>
      </w:r>
      <w:r>
        <w:rPr>
          <w:rFonts w:eastAsia="Calibri"/>
        </w:rPr>
        <w:t xml:space="preserve"> </w:t>
      </w:r>
      <w:r w:rsidRPr="007837BC">
        <w:rPr>
          <w:rFonts w:eastAsia="Calibri"/>
        </w:rPr>
        <w:t>163</w:t>
      </w:r>
      <w:r>
        <w:rPr>
          <w:rFonts w:eastAsia="Calibri"/>
        </w:rPr>
        <w:t xml:space="preserve"> – </w:t>
      </w:r>
      <w:r w:rsidRPr="007837BC">
        <w:rPr>
          <w:rFonts w:eastAsia="Calibri"/>
        </w:rPr>
        <w:t>175.</w:t>
      </w:r>
    </w:p>
    <w:p w:rsidR="00E12942" w:rsidRPr="00A11A6D" w:rsidRDefault="00E12942" w:rsidP="00E12942">
      <w:pPr>
        <w:pStyle w:val="Zv-References-ru"/>
        <w:rPr>
          <w:rFonts w:eastAsia="Calibri"/>
        </w:rPr>
      </w:pPr>
      <w:r w:rsidRPr="00A11A6D">
        <w:rPr>
          <w:rFonts w:eastAsia="Calibri"/>
          <w:iCs/>
        </w:rPr>
        <w:t>Ершов А.П., Сурконт О.С., Тимофеев И.Б. и др</w:t>
      </w:r>
      <w:r w:rsidRPr="00A11A6D">
        <w:rPr>
          <w:rFonts w:eastAsia="Calibri"/>
        </w:rPr>
        <w:t>. // ТВТ. 2004. №</w:t>
      </w:r>
      <w:r>
        <w:rPr>
          <w:rFonts w:eastAsia="Calibri"/>
        </w:rPr>
        <w:t xml:space="preserve"> </w:t>
      </w:r>
      <w:r w:rsidRPr="00A11A6D">
        <w:rPr>
          <w:rFonts w:eastAsia="Calibri"/>
        </w:rPr>
        <w:t>4. С.</w:t>
      </w:r>
      <w:r>
        <w:rPr>
          <w:rFonts w:eastAsia="Calibri"/>
        </w:rPr>
        <w:t xml:space="preserve"> </w:t>
      </w:r>
      <w:r w:rsidRPr="00A11A6D">
        <w:rPr>
          <w:rFonts w:eastAsia="Calibri"/>
        </w:rPr>
        <w:t>516.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66" w:rsidRDefault="00D60066">
      <w:r>
        <w:separator/>
      </w:r>
    </w:p>
  </w:endnote>
  <w:endnote w:type="continuationSeparator" w:id="0">
    <w:p w:rsidR="00D60066" w:rsidRDefault="00D600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02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B02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2EA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66" w:rsidRDefault="00D60066">
      <w:r>
        <w:separator/>
      </w:r>
    </w:p>
  </w:footnote>
  <w:footnote w:type="continuationSeparator" w:id="0">
    <w:p w:rsidR="00D60066" w:rsidRDefault="00D600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E12942">
      <w:rPr>
        <w:sz w:val="20"/>
      </w:rPr>
      <w:t>18</w:t>
    </w:r>
    <w:r>
      <w:rPr>
        <w:sz w:val="20"/>
      </w:rPr>
      <w:t xml:space="preserve"> – </w:t>
    </w:r>
    <w:r w:rsidR="0094721E" w:rsidRPr="00E12942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B02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A140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024B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A1402"/>
    <w:rsid w:val="008A2EA2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60066"/>
    <w:rsid w:val="00DA4715"/>
    <w:rsid w:val="00DF1C1D"/>
    <w:rsid w:val="00E12942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alloon Text"/>
    <w:basedOn w:val="a"/>
    <w:link w:val="a8"/>
    <w:rsid w:val="00E1294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12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32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ГАЗОДИНАМИЧЕСКИЕ ОСОБЕННОСТИ ВЗАИМОДЕЙСТВИЯ ВЫСОКОВОЛЬТНОГО ПОПЕРЕЧНОГО РАЗРЯДА СО СВЕРХЗВУКОВЫМ ПОТОКОМ ГАЗА</vt:lpstr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ГАЗОДИНАМИЧЕСКИЕ ОСОБЕННОСТИ ВЗАИМОДЕЙСТВИЯ ВЫСОКОВОЛЬТНОГО ПОПЕРЕЧНОГО РАЗРЯДА СО СВЕРХЗВУКОВЫМ ПОТОКОМ ГАЗА</dc:title>
  <dc:creator>sato</dc:creator>
  <cp:lastModifiedBy>Сатунин</cp:lastModifiedBy>
  <cp:revision>2</cp:revision>
  <cp:lastPrinted>1601-01-01T00:00:00Z</cp:lastPrinted>
  <dcterms:created xsi:type="dcterms:W3CDTF">2019-02-08T13:31:00Z</dcterms:created>
  <dcterms:modified xsi:type="dcterms:W3CDTF">2019-02-08T14:08:00Z</dcterms:modified>
</cp:coreProperties>
</file>