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0F" w:rsidRPr="006B7B5F" w:rsidRDefault="0016060F" w:rsidP="0016060F">
      <w:pPr>
        <w:pStyle w:val="Zv-Titlereport"/>
      </w:pPr>
      <w:bookmarkStart w:id="0" w:name="_Hlk532467887"/>
      <w:r>
        <w:t>ПРОСТРАНСТВЕННАЯ ЭВОЛЮЦИЯ РАССЕЯННЫХ ВОЛН ПРИ ДВУХПЛАЗМОННОМ</w:t>
      </w:r>
      <w:r w:rsidRPr="00394072">
        <w:t xml:space="preserve"> </w:t>
      </w:r>
      <w:r w:rsidRPr="00F37469">
        <w:t>ВЫНУЖДЕННОМ</w:t>
      </w:r>
      <w:r>
        <w:t xml:space="preserve"> РАССЕЯНИИ</w:t>
      </w:r>
    </w:p>
    <w:bookmarkEnd w:id="0"/>
    <w:p w:rsidR="0016060F" w:rsidRPr="002730BB" w:rsidRDefault="0016060F" w:rsidP="0016060F">
      <w:pPr>
        <w:pStyle w:val="Zv-Author"/>
      </w:pPr>
      <w:r>
        <w:rPr>
          <w:vertAlign w:val="superscript"/>
        </w:rPr>
        <w:t>1</w:t>
      </w:r>
      <w:r w:rsidRPr="0084232E">
        <w:t xml:space="preserve">Двинин С.А., </w:t>
      </w:r>
      <w:r w:rsidRPr="002730BB">
        <w:rPr>
          <w:vertAlign w:val="superscript"/>
        </w:rPr>
        <w:t>2</w:t>
      </w:r>
      <w:r w:rsidRPr="0084232E">
        <w:t xml:space="preserve">Нурулхаков Ш.С., </w:t>
      </w:r>
      <w:r w:rsidRPr="002730BB">
        <w:rPr>
          <w:vertAlign w:val="superscript"/>
        </w:rPr>
        <w:t>2</w:t>
      </w:r>
      <w:r w:rsidRPr="0084232E">
        <w:t>Солихов Д.К.</w:t>
      </w:r>
    </w:p>
    <w:p w:rsidR="0016060F" w:rsidRPr="0084232E" w:rsidRDefault="0016060F" w:rsidP="0016060F">
      <w:pPr>
        <w:pStyle w:val="Zv-Organization"/>
        <w:rPr>
          <w:rStyle w:val="a7"/>
          <w:color w:val="auto"/>
          <w:u w:val="none"/>
        </w:rPr>
      </w:pPr>
      <w:r w:rsidRPr="002730BB">
        <w:rPr>
          <w:vertAlign w:val="superscript"/>
        </w:rPr>
        <w:t>1</w:t>
      </w:r>
      <w:r w:rsidRPr="008D3AAE">
        <w:t>Московский Государственный Университет имени М.В Ломоносова, Физический</w:t>
      </w:r>
      <w:r w:rsidRPr="0016060F">
        <w:br/>
        <w:t xml:space="preserve">    </w:t>
      </w:r>
      <w:r w:rsidRPr="008D3AAE">
        <w:t xml:space="preserve"> Факультет, </w:t>
      </w:r>
      <w:r>
        <w:t xml:space="preserve">г. </w:t>
      </w:r>
      <w:r w:rsidRPr="008D3AAE">
        <w:t>Москва</w:t>
      </w:r>
      <w:r>
        <w:t>,</w:t>
      </w:r>
      <w:r w:rsidRPr="008D3AAE">
        <w:t xml:space="preserve"> Россия, </w:t>
      </w:r>
      <w:hyperlink r:id="rId7" w:history="1">
        <w:r w:rsidRPr="00BA3ED3">
          <w:rPr>
            <w:rStyle w:val="a7"/>
            <w:lang w:val="en-US"/>
          </w:rPr>
          <w:t>dvinin</w:t>
        </w:r>
        <w:r w:rsidRPr="00BA3ED3">
          <w:rPr>
            <w:rStyle w:val="a7"/>
          </w:rPr>
          <w:t>@</w:t>
        </w:r>
        <w:r w:rsidRPr="00BA3ED3">
          <w:rPr>
            <w:rStyle w:val="a7"/>
            <w:lang w:val="en-US"/>
          </w:rPr>
          <w:t>phys</w:t>
        </w:r>
        <w:r w:rsidRPr="00BA3ED3">
          <w:rPr>
            <w:rStyle w:val="a7"/>
          </w:rPr>
          <w:t>.</w:t>
        </w:r>
        <w:r w:rsidRPr="00BA3ED3">
          <w:rPr>
            <w:rStyle w:val="a7"/>
            <w:lang w:val="en-US"/>
          </w:rPr>
          <w:t>msu</w:t>
        </w:r>
        <w:r w:rsidRPr="00BA3ED3">
          <w:rPr>
            <w:rStyle w:val="a7"/>
          </w:rPr>
          <w:t>.</w:t>
        </w:r>
        <w:r w:rsidRPr="00BA3ED3">
          <w:rPr>
            <w:rStyle w:val="a7"/>
            <w:lang w:val="en-US"/>
          </w:rPr>
          <w:t>ru</w:t>
        </w:r>
      </w:hyperlink>
      <w:r w:rsidRPr="0016060F">
        <w:br/>
      </w:r>
      <w:r w:rsidRPr="002730BB">
        <w:rPr>
          <w:vertAlign w:val="superscript"/>
        </w:rPr>
        <w:t>2</w:t>
      </w:r>
      <w:r w:rsidRPr="008D3AAE">
        <w:t xml:space="preserve">Таджикский Национальный Университет, Физический Факультет, </w:t>
      </w:r>
      <w:r>
        <w:t xml:space="preserve">г. </w:t>
      </w:r>
      <w:r w:rsidRPr="008D3AAE">
        <w:t>Душанбе,</w:t>
      </w:r>
      <w:r w:rsidRPr="0016060F">
        <w:br/>
        <w:t xml:space="preserve">    </w:t>
      </w:r>
      <w:r>
        <w:t xml:space="preserve"> </w:t>
      </w:r>
      <w:r w:rsidRPr="008D3AAE">
        <w:t xml:space="preserve">Таджикистан, </w:t>
      </w:r>
      <w:hyperlink r:id="rId8" w:history="1">
        <w:r w:rsidRPr="00C11593">
          <w:rPr>
            <w:rStyle w:val="a7"/>
          </w:rPr>
          <w:t>davlat56@mail.ru</w:t>
        </w:r>
      </w:hyperlink>
    </w:p>
    <w:p w:rsidR="0016060F" w:rsidRDefault="0016060F" w:rsidP="0016060F">
      <w:pPr>
        <w:pStyle w:val="Zv-bodyreport"/>
      </w:pPr>
      <w:r>
        <w:t>Двухплазмонное</w:t>
      </w:r>
      <w:r w:rsidRPr="00EB06D8">
        <w:t xml:space="preserve"> рассеяни</w:t>
      </w:r>
      <w:r>
        <w:t>е</w:t>
      </w:r>
      <w:r w:rsidRPr="00EB06D8">
        <w:t xml:space="preserve"> </w:t>
      </w:r>
      <w:r>
        <w:t xml:space="preserve">– один из ключевых процессов, определяющих энергобаланс в </w:t>
      </w:r>
      <w:r w:rsidRPr="007B34DC">
        <w:t>эксп</w:t>
      </w:r>
      <w:r>
        <w:t>ериментах по</w:t>
      </w:r>
      <w:r w:rsidRPr="00EB06D8">
        <w:t xml:space="preserve"> лазерно</w:t>
      </w:r>
      <w:r>
        <w:t>му</w:t>
      </w:r>
      <w:r w:rsidRPr="00EB06D8">
        <w:t xml:space="preserve"> термоядерн</w:t>
      </w:r>
      <w:r>
        <w:t>ому</w:t>
      </w:r>
      <w:r w:rsidRPr="00EB06D8">
        <w:t xml:space="preserve"> синтез</w:t>
      </w:r>
      <w:r>
        <w:t>у</w:t>
      </w:r>
      <w:r w:rsidRPr="00EB06D8">
        <w:t xml:space="preserve"> [</w:t>
      </w:r>
      <w:r>
        <w:t>1 – 3]. Этот же процесс,</w:t>
      </w:r>
      <w:r w:rsidRPr="00EB06D8">
        <w:t xml:space="preserve"> </w:t>
      </w:r>
      <w:r>
        <w:t>однако, может быть использован для диагностики плазмы и при решении других задач</w:t>
      </w:r>
      <w:r w:rsidRPr="00EB06D8">
        <w:t>.</w:t>
      </w:r>
      <w:r>
        <w:t xml:space="preserve"> В данной работе рассмотрена начальная задача развития абсолютной неустойчивости в плазменном слое</w:t>
      </w:r>
      <w:r w:rsidRPr="00A67022">
        <w:t xml:space="preserve"> </w:t>
      </w:r>
      <w:r>
        <w:t xml:space="preserve">шириной </w:t>
      </w:r>
      <w:r w:rsidRPr="005F022D">
        <w:rPr>
          <w:i/>
          <w:lang w:val="en-US"/>
        </w:rPr>
        <w:t>L</w:t>
      </w:r>
      <w:r w:rsidRPr="00A67022">
        <w:t>/2</w:t>
      </w:r>
      <w:r>
        <w:rPr>
          <w:lang w:val="en-US"/>
        </w:rPr>
        <w:t> </w:t>
      </w:r>
      <w:r w:rsidRPr="00A67022">
        <w:t>&lt;</w:t>
      </w:r>
      <w:r>
        <w:rPr>
          <w:lang w:val="en-US"/>
        </w:rPr>
        <w:t> </w:t>
      </w:r>
      <w:r w:rsidRPr="005F022D">
        <w:rPr>
          <w:i/>
          <w:lang w:val="en-US"/>
        </w:rPr>
        <w:t>y</w:t>
      </w:r>
      <w:r>
        <w:rPr>
          <w:i/>
          <w:lang w:val="en-US"/>
        </w:rPr>
        <w:t> </w:t>
      </w:r>
      <w:r w:rsidRPr="00A67022">
        <w:t>&lt;</w:t>
      </w:r>
      <w:r>
        <w:rPr>
          <w:lang w:val="en-US"/>
        </w:rPr>
        <w:t> </w:t>
      </w:r>
      <w:r w:rsidRPr="005F022D">
        <w:rPr>
          <w:i/>
          <w:lang w:val="en-US"/>
        </w:rPr>
        <w:t>L</w:t>
      </w:r>
      <w:r w:rsidRPr="00A67022">
        <w:t>/2</w:t>
      </w:r>
      <w:r>
        <w:t xml:space="preserve">, на который под углом </w:t>
      </w:r>
      <w:r w:rsidRPr="00654A5E">
        <w:rPr>
          <w:i/>
        </w:rPr>
        <w:sym w:font="Symbol" w:char="F062"/>
      </w:r>
      <w:r w:rsidRPr="00654A5E">
        <w:rPr>
          <w:vertAlign w:val="subscript"/>
        </w:rPr>
        <w:t>0</w:t>
      </w:r>
      <w:r>
        <w:t xml:space="preserve"> к оси </w:t>
      </w:r>
      <w:r>
        <w:rPr>
          <w:i/>
          <w:lang w:val="en-US"/>
        </w:rPr>
        <w:t>Y</w:t>
      </w:r>
      <w:r>
        <w:t xml:space="preserve"> падает</w:t>
      </w:r>
      <w:r w:rsidRPr="00A67022">
        <w:t xml:space="preserve"> </w:t>
      </w:r>
      <w:r>
        <w:t>волна накачки</w:t>
      </w:r>
      <w:r w:rsidRPr="00AF77A9">
        <w:t xml:space="preserve">. </w:t>
      </w:r>
      <w:r>
        <w:t>Вдоль осей</w:t>
      </w:r>
      <w:r w:rsidRPr="00FB000E">
        <w:t xml:space="preserve"> </w:t>
      </w:r>
      <w:r w:rsidRPr="00654A5E">
        <w:rPr>
          <w:i/>
          <w:lang w:val="en-US"/>
        </w:rPr>
        <w:t>X</w:t>
      </w:r>
      <w:r>
        <w:t xml:space="preserve"> и </w:t>
      </w:r>
      <w:r w:rsidRPr="00654A5E">
        <w:rPr>
          <w:i/>
          <w:lang w:val="en-US"/>
        </w:rPr>
        <w:t>Z</w:t>
      </w:r>
      <w:r w:rsidRPr="00FB000E">
        <w:t xml:space="preserve"> </w:t>
      </w:r>
      <w:r>
        <w:t xml:space="preserve">плазма </w:t>
      </w:r>
      <w:r w:rsidRPr="00FB000E">
        <w:t xml:space="preserve">считается </w:t>
      </w:r>
      <w:r>
        <w:t>бесконечной.</w:t>
      </w:r>
      <w:r w:rsidRPr="00FB000E">
        <w:t xml:space="preserve"> </w:t>
      </w:r>
      <w:r>
        <w:t xml:space="preserve">Данная постановка отличается от традиционной, связанной с анализом процессов в установках инерциального термоядерного синтеза, для которой принципиален учет неоднородности плазмы, приводящей к нарушению условий параметрического резонанса волн. В данном случае аналогом неоднородности, ограничивающей область взаимодействия в пространстве, выступает конечность размеров плазменного слоя. </w:t>
      </w:r>
      <w:r w:rsidRPr="00AD70D7">
        <w:t>В</w:t>
      </w:r>
      <w:r>
        <w:t xml:space="preserve"> похожей постановке, но для бесконечной плазмы, задача рассмотрена в</w:t>
      </w:r>
      <w:r>
        <w:rPr>
          <w:lang w:val="en-US"/>
        </w:rPr>
        <w:t> </w:t>
      </w:r>
      <w:r w:rsidRPr="00AD70D7">
        <w:t>[</w:t>
      </w:r>
      <w:r>
        <w:t>4, 5</w:t>
      </w:r>
      <w:r w:rsidRPr="00AD70D7">
        <w:t>]</w:t>
      </w:r>
      <w:r>
        <w:t>.</w:t>
      </w:r>
    </w:p>
    <w:p w:rsidR="0016060F" w:rsidRDefault="0016060F" w:rsidP="0016060F">
      <w:pPr>
        <w:pStyle w:val="Zv-bodyreport"/>
      </w:pPr>
      <w:r>
        <w:t xml:space="preserve">Пусть </w:t>
      </w:r>
      <w:r w:rsidRPr="000C0E3F">
        <w:rPr>
          <w:i/>
        </w:rPr>
        <w:sym w:font="Symbol" w:char="F077"/>
      </w:r>
      <w:r w:rsidRPr="00BE2CC6">
        <w:rPr>
          <w:vertAlign w:val="subscript"/>
        </w:rPr>
        <w:t>0</w:t>
      </w:r>
      <w:r>
        <w:t xml:space="preserve">, </w:t>
      </w:r>
      <w:r w:rsidRPr="000C0E3F">
        <w:rPr>
          <w:i/>
        </w:rPr>
        <w:sym w:font="Symbol" w:char="F077"/>
      </w:r>
      <w:r w:rsidRPr="00BE2CC6">
        <w:rPr>
          <w:vertAlign w:val="subscript"/>
        </w:rPr>
        <w:t>1</w:t>
      </w:r>
      <w:r>
        <w:t xml:space="preserve">, </w:t>
      </w:r>
      <w:r w:rsidRPr="000C0E3F">
        <w:rPr>
          <w:i/>
        </w:rPr>
        <w:sym w:font="Symbol" w:char="F077"/>
      </w:r>
      <w:r w:rsidRPr="00BE2CC6">
        <w:rPr>
          <w:vertAlign w:val="subscript"/>
        </w:rPr>
        <w:t>2</w:t>
      </w:r>
      <w:r>
        <w:t xml:space="preserve">, </w:t>
      </w:r>
      <w:r w:rsidRPr="00F35B3F">
        <w:rPr>
          <w:b/>
          <w:lang w:val="en-US"/>
        </w:rPr>
        <w:t>k</w:t>
      </w:r>
      <w:r w:rsidRPr="00BE2CC6">
        <w:rPr>
          <w:vertAlign w:val="subscript"/>
        </w:rPr>
        <w:t>0</w:t>
      </w:r>
      <w:r w:rsidRPr="00BE2CC6">
        <w:t xml:space="preserve">, </w:t>
      </w:r>
      <w:r w:rsidRPr="00F35B3F">
        <w:rPr>
          <w:b/>
          <w:lang w:val="en-US"/>
        </w:rPr>
        <w:t>k</w:t>
      </w:r>
      <w:r w:rsidRPr="00BE2CC6">
        <w:rPr>
          <w:vertAlign w:val="subscript"/>
        </w:rPr>
        <w:t>1</w:t>
      </w:r>
      <w:r w:rsidRPr="00BE2CC6">
        <w:t xml:space="preserve">, </w:t>
      </w:r>
      <w:r w:rsidRPr="00F35B3F">
        <w:rPr>
          <w:b/>
          <w:lang w:val="en-US"/>
        </w:rPr>
        <w:t>k</w:t>
      </w:r>
      <w:r w:rsidRPr="00BE2CC6">
        <w:rPr>
          <w:vertAlign w:val="subscript"/>
        </w:rPr>
        <w:t>2</w:t>
      </w:r>
      <w:r w:rsidRPr="00BE2CC6">
        <w:t xml:space="preserve"> – частоты и волновые </w:t>
      </w:r>
      <w:r w:rsidRPr="00F35B3F">
        <w:t>вектора</w:t>
      </w:r>
      <w:r>
        <w:t xml:space="preserve"> волны накачки и двух возбуждающихся плазмонов.</w:t>
      </w:r>
      <w:r w:rsidRPr="002B6430">
        <w:t xml:space="preserve"> </w:t>
      </w:r>
      <w:r>
        <w:t>Рассеяние описывается системой уравнений</w:t>
      </w:r>
    </w:p>
    <w:p w:rsidR="0016060F" w:rsidRPr="00654A5E" w:rsidRDefault="0016060F" w:rsidP="0016060F">
      <w:pPr>
        <w:pStyle w:val="Zv-formula"/>
        <w:jc w:val="center"/>
      </w:pPr>
      <w:r w:rsidRPr="008B1CDD">
        <w:rPr>
          <w:position w:val="-28"/>
        </w:rPr>
        <w:object w:dxaOrig="32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34.5pt" o:ole="">
            <v:imagedata r:id="rId9" o:title=""/>
          </v:shape>
          <o:OLEObject Type="Embed" ProgID="Equation.DSMT4" ShapeID="_x0000_i1025" DrawAspect="Content" ObjectID="_1611144344" r:id="rId10"/>
        </w:object>
      </w:r>
      <w:r w:rsidRPr="00654A5E">
        <w:t>,</w:t>
      </w:r>
      <w:r>
        <w:t xml:space="preserve"> </w:t>
      </w:r>
      <w:r w:rsidRPr="008B1CDD">
        <w:rPr>
          <w:position w:val="-28"/>
        </w:rPr>
        <w:object w:dxaOrig="3379" w:dyaOrig="680">
          <v:shape id="_x0000_i1026" type="#_x0000_t75" style="width:169.5pt;height:34.5pt" o:ole="">
            <v:imagedata r:id="rId11" o:title=""/>
          </v:shape>
          <o:OLEObject Type="Embed" ProgID="Equation.DSMT4" ShapeID="_x0000_i1026" DrawAspect="Content" ObjectID="_1611144345" r:id="rId12"/>
        </w:object>
      </w:r>
      <w:r>
        <w:t>.</w:t>
      </w:r>
    </w:p>
    <w:p w:rsidR="0016060F" w:rsidRPr="00313913" w:rsidRDefault="0016060F" w:rsidP="0016060F">
      <w:pPr>
        <w:pStyle w:val="Zv-bodyreportcont"/>
      </w:pPr>
      <w:r>
        <w:t xml:space="preserve">Здесь </w:t>
      </w:r>
      <w:r w:rsidRPr="00F210F9">
        <w:rPr>
          <w:i/>
        </w:rPr>
        <w:t>b</w:t>
      </w:r>
      <w:r w:rsidRPr="000D096E">
        <w:rPr>
          <w:vertAlign w:val="subscript"/>
        </w:rPr>
        <w:t>1</w:t>
      </w:r>
      <w:r>
        <w:t xml:space="preserve"> и </w:t>
      </w:r>
      <w:r w:rsidRPr="00F210F9">
        <w:rPr>
          <w:i/>
        </w:rPr>
        <w:t>b</w:t>
      </w:r>
      <w:r w:rsidRPr="000D096E">
        <w:rPr>
          <w:vertAlign w:val="subscript"/>
        </w:rPr>
        <w:t>2</w:t>
      </w:r>
      <w:r>
        <w:t xml:space="preserve"> – амплитуды первого и второго плазмонов, </w:t>
      </w:r>
      <w:r w:rsidRPr="00313913">
        <w:rPr>
          <w:position w:val="-12"/>
        </w:rPr>
        <w:object w:dxaOrig="1460" w:dyaOrig="380">
          <v:shape id="_x0000_i1027" type="#_x0000_t75" style="width:68.25pt;height:18pt" o:ole="">
            <v:imagedata r:id="rId13" o:title=""/>
          </v:shape>
          <o:OLEObject Type="Embed" ProgID="Equation.DSMT4" ShapeID="_x0000_i1027" DrawAspect="Content" ObjectID="_1611144346" r:id="rId14"/>
        </w:object>
      </w:r>
      <w:r w:rsidRPr="00313913">
        <w:t xml:space="preserve">, </w:t>
      </w:r>
      <w:r w:rsidRPr="00313913">
        <w:rPr>
          <w:position w:val="-12"/>
        </w:rPr>
        <w:object w:dxaOrig="1540" w:dyaOrig="380">
          <v:shape id="_x0000_i1028" type="#_x0000_t75" style="width:72.75pt;height:18pt" o:ole="">
            <v:imagedata r:id="rId15" o:title=""/>
          </v:shape>
          <o:OLEObject Type="Embed" ProgID="Equation.DSMT4" ShapeID="_x0000_i1028" DrawAspect="Content" ObjectID="_1611144347" r:id="rId16"/>
        </w:object>
      </w:r>
      <w:r w:rsidRPr="00313913">
        <w:t xml:space="preserve"> – </w:t>
      </w:r>
      <w:r>
        <w:t xml:space="preserve">их </w:t>
      </w:r>
      <w:r w:rsidRPr="00313913">
        <w:t>групповые скорости</w:t>
      </w:r>
      <w:r>
        <w:t xml:space="preserve">, </w:t>
      </w:r>
      <w:r w:rsidRPr="00313913">
        <w:rPr>
          <w:position w:val="-14"/>
        </w:rPr>
        <w:object w:dxaOrig="1860" w:dyaOrig="460">
          <v:shape id="_x0000_i1029" type="#_x0000_t75" style="width:86.25pt;height:21.75pt" o:ole="">
            <v:imagedata r:id="rId17" o:title=""/>
          </v:shape>
          <o:OLEObject Type="Embed" ProgID="Equation.DSMT4" ShapeID="_x0000_i1029" DrawAspect="Content" ObjectID="_1611144348" r:id="rId18"/>
        </w:object>
      </w:r>
      <w:r w:rsidRPr="00313913">
        <w:t xml:space="preserve">, </w:t>
      </w:r>
      <w:r w:rsidRPr="00313913">
        <w:rPr>
          <w:position w:val="-14"/>
        </w:rPr>
        <w:object w:dxaOrig="1880" w:dyaOrig="460">
          <v:shape id="_x0000_i1030" type="#_x0000_t75" style="width:87pt;height:21.75pt" o:ole="">
            <v:imagedata r:id="rId19" o:title=""/>
          </v:shape>
          <o:OLEObject Type="Embed" ProgID="Equation.DSMT4" ShapeID="_x0000_i1030" DrawAspect="Content" ObjectID="_1611144349" r:id="rId20"/>
        </w:object>
      </w:r>
      <w:r>
        <w:t xml:space="preserve">, </w:t>
      </w:r>
      <w:r>
        <w:sym w:font="Symbol" w:char="F06E"/>
      </w:r>
      <w:r w:rsidRPr="00BA70ED">
        <w:rPr>
          <w:vertAlign w:val="subscript"/>
        </w:rPr>
        <w:t>1</w:t>
      </w:r>
      <w:r w:rsidRPr="000D096E">
        <w:t xml:space="preserve"> </w:t>
      </w:r>
      <w:r>
        <w:t xml:space="preserve">и </w:t>
      </w:r>
      <w:r>
        <w:sym w:font="Symbol" w:char="F06E"/>
      </w:r>
      <w:r>
        <w:rPr>
          <w:vertAlign w:val="subscript"/>
        </w:rPr>
        <w:t>2</w:t>
      </w:r>
      <w:r w:rsidRPr="00313913">
        <w:t xml:space="preserve"> </w:t>
      </w:r>
      <w:r>
        <w:t>–</w:t>
      </w:r>
      <w:r w:rsidRPr="00BA70ED">
        <w:t xml:space="preserve"> их </w:t>
      </w:r>
      <w:r>
        <w:t xml:space="preserve">частоты и коэффициенты </w:t>
      </w:r>
      <w:r w:rsidRPr="002B6430">
        <w:t>по</w:t>
      </w:r>
      <w:r>
        <w:t xml:space="preserve">глощения (с учетом как столкновительного, так и бесстолкновительного затухания). Коэффициенты связи волн </w:t>
      </w:r>
      <w:r w:rsidRPr="002B6430">
        <w:rPr>
          <w:i/>
        </w:rPr>
        <w:sym w:font="Symbol" w:char="F06D"/>
      </w:r>
      <w:r w:rsidRPr="005868E6">
        <w:rPr>
          <w:vertAlign w:val="subscript"/>
        </w:rPr>
        <w:t>1</w:t>
      </w:r>
      <w:r>
        <w:t xml:space="preserve"> и </w:t>
      </w:r>
      <w:r w:rsidRPr="002B6430">
        <w:rPr>
          <w:i/>
        </w:rPr>
        <w:sym w:font="Symbol" w:char="F06D"/>
      </w:r>
      <w:r w:rsidRPr="005868E6">
        <w:rPr>
          <w:vertAlign w:val="subscript"/>
        </w:rPr>
        <w:t>2</w:t>
      </w:r>
      <w:r>
        <w:t xml:space="preserve"> зависят от угла падения волны накачки на слой, углов рассеяния и отношения частоты </w:t>
      </w:r>
      <w:r w:rsidRPr="00FD073F">
        <w:t>в</w:t>
      </w:r>
      <w:r>
        <w:t xml:space="preserve">олны накачки к плазменной частоте </w:t>
      </w:r>
      <w:r w:rsidRPr="000C0E3F">
        <w:rPr>
          <w:i/>
        </w:rPr>
        <w:sym w:font="Symbol" w:char="F077"/>
      </w:r>
      <w:r>
        <w:rPr>
          <w:vertAlign w:val="subscript"/>
        </w:rPr>
        <w:t>P</w:t>
      </w:r>
      <w:r>
        <w:rPr>
          <w:vertAlign w:val="subscript"/>
          <w:lang w:val="en-US"/>
        </w:rPr>
        <w:t>e</w:t>
      </w:r>
      <w:r>
        <w:t>.</w:t>
      </w:r>
    </w:p>
    <w:p w:rsidR="0016060F" w:rsidRPr="00787AF6" w:rsidRDefault="0016060F" w:rsidP="0016060F">
      <w:pPr>
        <w:pStyle w:val="Zv-bodyreport"/>
      </w:pPr>
      <w:r w:rsidRPr="000F718A">
        <w:t>В работе аналитически рассчитаны области</w:t>
      </w:r>
      <w:r>
        <w:t xml:space="preserve"> значений параметров</w:t>
      </w:r>
      <w:r w:rsidRPr="000F718A">
        <w:t>, в котор</w:t>
      </w:r>
      <w:r>
        <w:t>ых</w:t>
      </w:r>
      <w:r w:rsidRPr="000F718A">
        <w:t xml:space="preserve"> выполняются условия синхронизма</w:t>
      </w:r>
      <w:r>
        <w:t>, а также</w:t>
      </w:r>
      <w:r w:rsidRPr="000F718A">
        <w:t xml:space="preserve"> пороги и инкременты неустойчивости как функции </w:t>
      </w:r>
      <w:r w:rsidRPr="00EF2D3E">
        <w:t xml:space="preserve">упомянутых </w:t>
      </w:r>
      <w:r>
        <w:t xml:space="preserve">выше параметров, ширины плазменного слоя </w:t>
      </w:r>
      <w:r w:rsidRPr="000C0E3F">
        <w:rPr>
          <w:i/>
        </w:rPr>
        <w:t>L</w:t>
      </w:r>
      <w:r w:rsidRPr="000C0E3F">
        <w:t xml:space="preserve"> </w:t>
      </w:r>
      <w:r>
        <w:t>и</w:t>
      </w:r>
      <w:r w:rsidRPr="000C0E3F">
        <w:t xml:space="preserve"> </w:t>
      </w:r>
      <w:r w:rsidRPr="000F718A">
        <w:t xml:space="preserve">углов рассеяния </w:t>
      </w:r>
      <w:r w:rsidRPr="000F718A">
        <w:rPr>
          <w:i/>
        </w:rPr>
        <w:sym w:font="Symbol" w:char="F062"/>
      </w:r>
      <w:r w:rsidRPr="000F718A">
        <w:rPr>
          <w:vertAlign w:val="subscript"/>
        </w:rPr>
        <w:t>0</w:t>
      </w:r>
      <w:r w:rsidRPr="000F718A">
        <w:t xml:space="preserve"> и </w:t>
      </w:r>
      <w:r w:rsidRPr="000F718A">
        <w:rPr>
          <w:i/>
        </w:rPr>
        <w:sym w:font="Symbol" w:char="F062"/>
      </w:r>
      <w:r w:rsidRPr="000F718A">
        <w:rPr>
          <w:vertAlign w:val="subscript"/>
        </w:rPr>
        <w:t>2</w:t>
      </w:r>
      <w:r>
        <w:t>. При расчете использованы методы, описанные в работ</w:t>
      </w:r>
      <w:r w:rsidRPr="00787AF6">
        <w:t>а</w:t>
      </w:r>
      <w:r>
        <w:t xml:space="preserve">х </w:t>
      </w:r>
      <w:r w:rsidRPr="00787AF6">
        <w:t>[</w:t>
      </w:r>
      <w:r>
        <w:t>6,</w:t>
      </w:r>
      <w:r>
        <w:rPr>
          <w:lang w:val="en-US"/>
        </w:rPr>
        <w:t> </w:t>
      </w:r>
      <w:r>
        <w:t>7</w:t>
      </w:r>
      <w:r w:rsidRPr="00787AF6">
        <w:t>]</w:t>
      </w:r>
      <w:r>
        <w:t xml:space="preserve"> для рассеяния Мандельштама-Бриллюэна. Записаны уравнения, определяющие развитие неустойчивости от локального источника в двумерном пространстве и с их помощью рассчитано развитие возмущения во времени. </w:t>
      </w:r>
      <w:r w:rsidRPr="00EF2D3E">
        <w:t>Найдены</w:t>
      </w:r>
      <w:r>
        <w:t xml:space="preserve"> условия формирования возмущения, распространяющегося вдоль плазменного слоя.</w:t>
      </w:r>
    </w:p>
    <w:p w:rsidR="0016060F" w:rsidRDefault="0016060F" w:rsidP="0016060F">
      <w:pPr>
        <w:pStyle w:val="Zv-bodyreport"/>
      </w:pPr>
      <w:r>
        <w:t>Полученные результаты могут быть обобщены на двухплазмонную неустойчивость в магнитоактивной плазме.</w:t>
      </w:r>
    </w:p>
    <w:p w:rsidR="0016060F" w:rsidRPr="002730BB" w:rsidRDefault="0016060F" w:rsidP="0016060F">
      <w:pPr>
        <w:pStyle w:val="Zv-TitleReferences-ru"/>
        <w:rPr>
          <w:lang w:val="en-US"/>
        </w:rPr>
      </w:pPr>
      <w:r w:rsidRPr="0016060F">
        <w:t>Литература</w:t>
      </w:r>
    </w:p>
    <w:p w:rsidR="0016060F" w:rsidRPr="0016060F" w:rsidRDefault="0016060F" w:rsidP="0016060F">
      <w:pPr>
        <w:pStyle w:val="Zv-References-ru"/>
      </w:pPr>
      <w:r w:rsidRPr="0016060F">
        <w:t>Галеев А.А., Ораевский В.Н., Сагдеев Р.З. Письма в ЖЭТФ, 1972, 16, 194.</w:t>
      </w:r>
    </w:p>
    <w:p w:rsidR="0016060F" w:rsidRPr="0016060F" w:rsidRDefault="0016060F" w:rsidP="0016060F">
      <w:pPr>
        <w:pStyle w:val="Zv-References-ru"/>
      </w:pPr>
      <w:r w:rsidRPr="0016060F">
        <w:rPr>
          <w:lang w:val="en-US"/>
        </w:rPr>
        <w:t xml:space="preserve">Graxton R.S., Anderson K.S., Boehly T.R. et al. </w:t>
      </w:r>
      <w:r w:rsidRPr="0016060F">
        <w:rPr>
          <w:szCs w:val="24"/>
        </w:rPr>
        <w:t>Phys. Plasmas, 2015, 22</w:t>
      </w:r>
      <w:r w:rsidRPr="0016060F">
        <w:t>,</w:t>
      </w:r>
      <w:r w:rsidRPr="0016060F">
        <w:rPr>
          <w:szCs w:val="24"/>
        </w:rPr>
        <w:t xml:space="preserve"> 110501.</w:t>
      </w:r>
    </w:p>
    <w:p w:rsidR="0016060F" w:rsidRPr="0016060F" w:rsidRDefault="0016060F" w:rsidP="0016060F">
      <w:pPr>
        <w:pStyle w:val="Zv-References-ru"/>
        <w:rPr>
          <w:lang w:val="en-US"/>
        </w:rPr>
      </w:pPr>
      <w:r w:rsidRPr="0016060F">
        <w:rPr>
          <w:szCs w:val="24"/>
          <w:lang w:val="en-US"/>
        </w:rPr>
        <w:t>Montgomery D.S. Phys. Plasmas, 2016, 23</w:t>
      </w:r>
      <w:r w:rsidRPr="0016060F">
        <w:rPr>
          <w:lang w:val="en-US"/>
        </w:rPr>
        <w:t>,</w:t>
      </w:r>
      <w:r w:rsidRPr="0016060F">
        <w:rPr>
          <w:szCs w:val="24"/>
          <w:lang w:val="en-US"/>
        </w:rPr>
        <w:t xml:space="preserve"> 055601.</w:t>
      </w:r>
    </w:p>
    <w:p w:rsidR="0016060F" w:rsidRPr="0016060F" w:rsidRDefault="0016060F" w:rsidP="0016060F">
      <w:pPr>
        <w:pStyle w:val="Zv-References-ru"/>
      </w:pPr>
      <w:r w:rsidRPr="0016060F">
        <w:rPr>
          <w:szCs w:val="24"/>
          <w:lang w:val="en-US"/>
        </w:rPr>
        <w:t xml:space="preserve">Laham N.M., Al-khateeb A.M., Al Nasser A.S. and Odeh I.M., Phys. </w:t>
      </w:r>
      <w:r w:rsidRPr="0016060F">
        <w:rPr>
          <w:szCs w:val="24"/>
        </w:rPr>
        <w:t>Plasmas, 2000, 7</w:t>
      </w:r>
      <w:r w:rsidRPr="0016060F">
        <w:t>,</w:t>
      </w:r>
      <w:r w:rsidRPr="0016060F">
        <w:rPr>
          <w:szCs w:val="24"/>
        </w:rPr>
        <w:t xml:space="preserve"> 3993.</w:t>
      </w:r>
    </w:p>
    <w:p w:rsidR="0016060F" w:rsidRPr="0016060F" w:rsidRDefault="0016060F" w:rsidP="0016060F">
      <w:pPr>
        <w:pStyle w:val="Zv-References-ru"/>
      </w:pPr>
      <w:r w:rsidRPr="0016060F">
        <w:rPr>
          <w:szCs w:val="24"/>
          <w:lang w:val="en-US"/>
        </w:rPr>
        <w:t xml:space="preserve">Machacek A.C. and Wark J.S., Phys. </w:t>
      </w:r>
      <w:r w:rsidRPr="0016060F">
        <w:rPr>
          <w:szCs w:val="24"/>
        </w:rPr>
        <w:t>Plasmas, 2001, 8, 4357.</w:t>
      </w:r>
      <w:r w:rsidRPr="0016060F">
        <w:t xml:space="preserve"> </w:t>
      </w:r>
    </w:p>
    <w:p w:rsidR="0016060F" w:rsidRPr="0016060F" w:rsidRDefault="0016060F" w:rsidP="0016060F">
      <w:pPr>
        <w:pStyle w:val="Zv-References-ru"/>
        <w:rPr>
          <w:lang w:val="en-US"/>
        </w:rPr>
      </w:pPr>
      <w:r w:rsidRPr="0016060F">
        <w:rPr>
          <w:lang w:val="en-US"/>
        </w:rPr>
        <w:t xml:space="preserve">Bobroff D.L., Haus H.A. </w:t>
      </w:r>
      <w:r w:rsidRPr="0016060F">
        <w:rPr>
          <w:rFonts w:eastAsia="AntiquaPSCyr-Regular"/>
          <w:lang w:val="en-US"/>
        </w:rPr>
        <w:t xml:space="preserve">J. Apple. phys., 1967, </w:t>
      </w:r>
      <w:r w:rsidRPr="0016060F">
        <w:rPr>
          <w:rFonts w:eastAsia="AntiquaPSCyr-Bold"/>
          <w:lang w:val="en-US"/>
        </w:rPr>
        <w:t>38</w:t>
      </w:r>
      <w:r w:rsidRPr="0016060F">
        <w:rPr>
          <w:rFonts w:eastAsia="AntiquaPSCyr-Regular"/>
          <w:lang w:val="en-US"/>
        </w:rPr>
        <w:t>, 390.</w:t>
      </w:r>
    </w:p>
    <w:p w:rsidR="0016060F" w:rsidRPr="0016060F" w:rsidRDefault="0016060F" w:rsidP="0016060F">
      <w:pPr>
        <w:pStyle w:val="Zv-References-ru"/>
      </w:pPr>
      <w:r w:rsidRPr="0016060F">
        <w:t>Двинин С.А., Солихов Д.К., Нурулхаков Ш.С. Известия вузов, Физика, 2018, 61, 87.</w:t>
      </w:r>
    </w:p>
    <w:sectPr w:rsidR="0016060F" w:rsidRPr="0016060F" w:rsidSect="00F95123">
      <w:headerReference w:type="default" r:id="rId21"/>
      <w:footerReference w:type="even" r:id="rId22"/>
      <w:footerReference w:type="default" r:id="rId2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717" w:rsidRDefault="007E7717">
      <w:r>
        <w:separator/>
      </w:r>
    </w:p>
  </w:endnote>
  <w:endnote w:type="continuationSeparator" w:id="0">
    <w:p w:rsidR="007E7717" w:rsidRDefault="007E7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PSCyr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tiquaPSCyr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916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916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060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717" w:rsidRDefault="007E7717">
      <w:r>
        <w:separator/>
      </w:r>
    </w:p>
  </w:footnote>
  <w:footnote w:type="continuationSeparator" w:id="0">
    <w:p w:rsidR="007E7717" w:rsidRDefault="007E7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16060F">
      <w:rPr>
        <w:sz w:val="20"/>
      </w:rPr>
      <w:t>18</w:t>
    </w:r>
    <w:r>
      <w:rPr>
        <w:sz w:val="20"/>
      </w:rPr>
      <w:t xml:space="preserve"> – </w:t>
    </w:r>
    <w:r w:rsidR="0094721E" w:rsidRPr="0016060F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79161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7717"/>
    <w:rsid w:val="00037DCC"/>
    <w:rsid w:val="00043701"/>
    <w:rsid w:val="000C7078"/>
    <w:rsid w:val="000D76E9"/>
    <w:rsid w:val="000E495B"/>
    <w:rsid w:val="00140645"/>
    <w:rsid w:val="0016060F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9161F"/>
    <w:rsid w:val="007B6378"/>
    <w:rsid w:val="007E7717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1606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lat56@mail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dvinin@phys.msu.ru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ПРОСТРАНСТВЕННАЯ ЭВОЛЮЦИЯ РАССЕЯННЫХ ВОЛН ПРИ ДВУХПЛАЗМОННОМ ВЫНУЖДЕННОМ РАССЕЯНИИ</dc:title>
  <dc:creator>sato</dc:creator>
  <cp:lastModifiedBy>Сатунин</cp:lastModifiedBy>
  <cp:revision>1</cp:revision>
  <cp:lastPrinted>1601-01-01T00:00:00Z</cp:lastPrinted>
  <dcterms:created xsi:type="dcterms:W3CDTF">2019-02-08T12:13:00Z</dcterms:created>
  <dcterms:modified xsi:type="dcterms:W3CDTF">2019-02-08T12:17:00Z</dcterms:modified>
</cp:coreProperties>
</file>