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6B" w:rsidRPr="005E7E13" w:rsidRDefault="00CF576B" w:rsidP="00CF576B">
      <w:pPr>
        <w:pStyle w:val="Zv-Titlereport"/>
      </w:pPr>
      <w:bookmarkStart w:id="0" w:name="_Hlk532397971"/>
      <w:r w:rsidRPr="009A1733">
        <w:t xml:space="preserve">ПАРАМЕТРЫ ПЛАЗМЫ ПРИ СОВМЕСТНОМ ИСПОЛЬЗОВАНИИ ИНДУКТИВНОГО ВЧ РАЗРЯДА И РАЗРЯДА ПОСТОЯННОГО ТОКА </w:t>
      </w:r>
    </w:p>
    <w:bookmarkEnd w:id="0"/>
    <w:p w:rsidR="00CF576B" w:rsidRPr="005E7E13" w:rsidRDefault="00CF576B" w:rsidP="00CF576B">
      <w:pPr>
        <w:pStyle w:val="Zv-Author"/>
      </w:pPr>
      <w:r w:rsidRPr="009A1733">
        <w:t>Александров</w:t>
      </w:r>
      <w:r w:rsidRPr="00C24D9C">
        <w:t xml:space="preserve"> </w:t>
      </w:r>
      <w:r w:rsidRPr="009A1733">
        <w:t>А.Ф., Вавилин</w:t>
      </w:r>
      <w:r w:rsidRPr="00C24D9C">
        <w:t xml:space="preserve"> </w:t>
      </w:r>
      <w:r w:rsidRPr="009A1733">
        <w:t>К.В., Задириев</w:t>
      </w:r>
      <w:r w:rsidRPr="00C24D9C">
        <w:t xml:space="preserve"> </w:t>
      </w:r>
      <w:r w:rsidRPr="009A1733">
        <w:t>И.И., Кралькина</w:t>
      </w:r>
      <w:r w:rsidRPr="00C24D9C">
        <w:t xml:space="preserve"> </w:t>
      </w:r>
      <w:r w:rsidRPr="009A1733">
        <w:t>Е.А., Неклюдова</w:t>
      </w:r>
      <w:r w:rsidRPr="00C24D9C">
        <w:t xml:space="preserve"> </w:t>
      </w:r>
      <w:r w:rsidRPr="009A1733">
        <w:t>П.А.,</w:t>
      </w:r>
      <w:r w:rsidRPr="005E7E13">
        <w:t xml:space="preserve"> </w:t>
      </w:r>
      <w:r w:rsidRPr="00A9654A">
        <w:t>Никонов</w:t>
      </w:r>
      <w:r w:rsidRPr="00C24D9C">
        <w:t xml:space="preserve"> </w:t>
      </w:r>
      <w:r w:rsidRPr="00A9654A">
        <w:t>А.М.</w:t>
      </w:r>
    </w:p>
    <w:p w:rsidR="00CF576B" w:rsidRPr="005E7E13" w:rsidRDefault="00CF576B" w:rsidP="00CF576B">
      <w:pPr>
        <w:pStyle w:val="Zv-Organization"/>
      </w:pPr>
      <w:r w:rsidRPr="00A9654A">
        <w:rPr>
          <w:iCs/>
        </w:rPr>
        <w:t xml:space="preserve">МГУ им Ломоносова, Москва, Россия, </w:t>
      </w:r>
      <w:hyperlink r:id="rId7" w:history="1">
        <w:r w:rsidRPr="00A9654A">
          <w:rPr>
            <w:rStyle w:val="a7"/>
          </w:rPr>
          <w:t>nekludova_pa@mail.ru</w:t>
        </w:r>
      </w:hyperlink>
    </w:p>
    <w:p w:rsidR="00CF576B" w:rsidRPr="00DF2FDC" w:rsidRDefault="00CF576B" w:rsidP="00DF2FDC">
      <w:pPr>
        <w:pStyle w:val="Zv-bodyreport"/>
      </w:pPr>
      <w:r w:rsidRPr="00455B35">
        <w:t xml:space="preserve">В настоящей работе представлены комплексные исследования параметров </w:t>
      </w:r>
      <w:r w:rsidRPr="00DF2FDC">
        <w:rPr>
          <w:rFonts w:eastAsia="Calibri"/>
        </w:rPr>
        <w:t xml:space="preserve">гибридного разряда, основанного на комбинации индуктивного </w:t>
      </w:r>
      <w:r w:rsidRPr="00DF2FDC">
        <w:t xml:space="preserve">ВЧ </w:t>
      </w:r>
      <w:r w:rsidRPr="00DF2FDC">
        <w:rPr>
          <w:rFonts w:eastAsia="Calibri"/>
        </w:rPr>
        <w:t xml:space="preserve">разряда </w:t>
      </w:r>
      <w:r w:rsidRPr="00DF2FDC">
        <w:t xml:space="preserve">(ИВЧР) с внешним магнитным полем </w:t>
      </w:r>
      <w:r w:rsidRPr="00DF2FDC">
        <w:rPr>
          <w:rFonts w:eastAsia="Calibri"/>
        </w:rPr>
        <w:t>и разряда постоянного тока</w:t>
      </w:r>
      <w:r w:rsidRPr="00DF2FDC">
        <w:t xml:space="preserve"> (РПТ)</w:t>
      </w:r>
      <w:r w:rsidRPr="00DF2FDC">
        <w:rPr>
          <w:rFonts w:eastAsia="Calibri"/>
        </w:rPr>
        <w:t>.</w:t>
      </w:r>
      <w:r w:rsidRPr="00DF2FDC">
        <w:t xml:space="preserve"> Основное внимание уделено изучению взаимного влияния двух каналов разряда. </w:t>
      </w:r>
    </w:p>
    <w:p w:rsidR="00CF576B" w:rsidRPr="00455B35" w:rsidRDefault="00CF576B" w:rsidP="00CF576B">
      <w:pPr>
        <w:pStyle w:val="Zv-bodyreport"/>
        <w:rPr>
          <w:bCs/>
        </w:rPr>
      </w:pPr>
      <w:r w:rsidRPr="00DF2FDC">
        <w:t xml:space="preserve">Разряд зажигался в цилиндрическом источнике плазмы (ИП) диаметром 20 см и длиной 32 см. Для организации индуктивного ВЧ разряда на боковой поверхности ИП располагалась соленоидальная антенна, подключенная к ВЧ генератору. </w:t>
      </w:r>
      <w:r w:rsidRPr="00DF2FDC">
        <w:rPr>
          <w:rFonts w:eastAsia="Calibri"/>
        </w:rPr>
        <w:t>К</w:t>
      </w:r>
      <w:r w:rsidRPr="00455B35">
        <w:rPr>
          <w:rFonts w:eastAsia="Calibri"/>
        </w:rPr>
        <w:t xml:space="preserve">анал постоянного тока (КПТ) </w:t>
      </w:r>
      <w:r w:rsidRPr="00455B35">
        <w:t xml:space="preserve">был </w:t>
      </w:r>
      <w:r w:rsidRPr="00455B35">
        <w:rPr>
          <w:rFonts w:eastAsia="Calibri"/>
        </w:rPr>
        <w:t xml:space="preserve">сформирован двумя электродами, расположенными на торцах </w:t>
      </w:r>
      <w:r w:rsidRPr="00DF2FDC">
        <w:rPr>
          <w:rFonts w:eastAsia="Calibri"/>
        </w:rPr>
        <w:t xml:space="preserve">цилиндрического источника плазмы. </w:t>
      </w:r>
      <w:r w:rsidRPr="00455B35">
        <w:rPr>
          <w:rFonts w:eastAsia="Calibri"/>
        </w:rPr>
        <w:t>На катод, которым служит электрод, огран</w:t>
      </w:r>
      <w:r w:rsidRPr="00455B35">
        <w:t>ичивающий объем ИП снизу, подавал</w:t>
      </w:r>
      <w:r w:rsidRPr="00455B35">
        <w:rPr>
          <w:rFonts w:eastAsia="Calibri"/>
        </w:rPr>
        <w:t xml:space="preserve">ся потенциал </w:t>
      </w:r>
      <w:r w:rsidRPr="00455B35">
        <w:rPr>
          <w:rFonts w:eastAsia="Calibri"/>
          <w:i/>
        </w:rPr>
        <w:t>V</w:t>
      </w:r>
      <w:r w:rsidRPr="00455B35">
        <w:rPr>
          <w:rFonts w:eastAsia="Calibri"/>
          <w:vertAlign w:val="subscript"/>
          <w:lang w:val="en-AU"/>
        </w:rPr>
        <w:t>DC</w:t>
      </w:r>
      <w:r w:rsidRPr="00455B35">
        <w:rPr>
          <w:rFonts w:eastAsia="Calibri"/>
        </w:rPr>
        <w:t>, отрицательный относительно заземленного верхнего электрода.</w:t>
      </w:r>
      <w:r w:rsidRPr="00455B35">
        <w:t xml:space="preserve"> Значения напряжения варьировались</w:t>
      </w:r>
      <w:r w:rsidRPr="00455B35">
        <w:rPr>
          <w:rFonts w:eastAsia="Calibri"/>
        </w:rPr>
        <w:t xml:space="preserve"> от 0 до 800В. </w:t>
      </w:r>
      <w:r w:rsidRPr="00DF2FDC">
        <w:rPr>
          <w:rFonts w:eastAsia="Calibri"/>
        </w:rPr>
        <w:t xml:space="preserve">Эксперименты проводились в аргоне и в чистом воздухе в диапазоне давлений </w:t>
      </w:r>
      <w:r w:rsidRPr="00455B35">
        <w:rPr>
          <w:rFonts w:eastAsia="Calibri"/>
          <w:bCs/>
        </w:rPr>
        <w:t>0</w:t>
      </w:r>
      <w:r w:rsidRPr="005E7E13">
        <w:rPr>
          <w:rFonts w:eastAsia="Calibri"/>
          <w:bCs/>
        </w:rPr>
        <w:t>,</w:t>
      </w:r>
      <w:r>
        <w:rPr>
          <w:rFonts w:eastAsia="Calibri"/>
          <w:bCs/>
        </w:rPr>
        <w:t>1</w:t>
      </w:r>
      <w:r>
        <w:rPr>
          <w:rFonts w:eastAsia="Calibri"/>
          <w:bCs/>
          <w:lang w:val="fr-FR"/>
        </w:rPr>
        <w:t> </w:t>
      </w:r>
      <w:r>
        <w:rPr>
          <w:rFonts w:eastAsia="Calibri"/>
          <w:bCs/>
        </w:rPr>
        <w:t>–</w:t>
      </w:r>
      <w:r>
        <w:rPr>
          <w:rFonts w:eastAsia="Calibri"/>
          <w:bCs/>
          <w:lang w:val="fr-FR"/>
        </w:rPr>
        <w:t> </w:t>
      </w:r>
      <w:r w:rsidRPr="00455B35">
        <w:rPr>
          <w:rFonts w:eastAsia="Calibri"/>
          <w:bCs/>
        </w:rPr>
        <w:t>140</w:t>
      </w:r>
      <w:r>
        <w:rPr>
          <w:rFonts w:eastAsia="Calibri"/>
          <w:bCs/>
          <w:lang w:val="fr-FR"/>
        </w:rPr>
        <w:t> </w:t>
      </w:r>
      <w:r w:rsidRPr="00DF2FDC">
        <w:rPr>
          <w:rFonts w:eastAsia="Calibri"/>
        </w:rPr>
        <w:t xml:space="preserve">мТорр и 60 – 200 мТорр, соответственно, </w:t>
      </w:r>
      <w:r w:rsidRPr="00455B35">
        <w:rPr>
          <w:rFonts w:eastAsia="Calibri"/>
          <w:bCs/>
        </w:rPr>
        <w:t xml:space="preserve">при значениях внешнего магнитного поля </w:t>
      </w:r>
      <w:r w:rsidRPr="00455B35">
        <w:rPr>
          <w:rFonts w:eastAsia="Calibri"/>
          <w:bCs/>
          <w:i/>
        </w:rPr>
        <w:t xml:space="preserve">В </w:t>
      </w:r>
      <w:r w:rsidRPr="00455B35">
        <w:rPr>
          <w:rFonts w:eastAsia="Calibri"/>
          <w:bCs/>
        </w:rPr>
        <w:t>0 – 60 Гс и мощностях ВЧ генератора от 20 до 800</w:t>
      </w:r>
      <w:r>
        <w:rPr>
          <w:rFonts w:eastAsia="Calibri"/>
          <w:bCs/>
        </w:rPr>
        <w:t> </w:t>
      </w:r>
      <w:r w:rsidRPr="00455B35">
        <w:rPr>
          <w:rFonts w:eastAsia="Calibri"/>
          <w:bCs/>
        </w:rPr>
        <w:t>Вт.</w:t>
      </w:r>
      <w:r w:rsidRPr="00455B35">
        <w:rPr>
          <w:bCs/>
        </w:rPr>
        <w:t xml:space="preserve"> </w:t>
      </w:r>
    </w:p>
    <w:p w:rsidR="00CF576B" w:rsidRPr="00455B35" w:rsidRDefault="00CF576B" w:rsidP="00CF576B">
      <w:pPr>
        <w:pStyle w:val="Zv-bodyreport"/>
      </w:pPr>
      <w:r w:rsidRPr="00455B35">
        <w:rPr>
          <w:rFonts w:eastAsia="Calibri"/>
        </w:rPr>
        <w:t>Режимы горения ИВЧР можно разделить на две об</w:t>
      </w:r>
      <w:r>
        <w:rPr>
          <w:rFonts w:eastAsia="Calibri"/>
        </w:rPr>
        <w:t xml:space="preserve">ласти. Область низких давлений </w:t>
      </w:r>
      <w:r w:rsidRPr="00455B35">
        <w:rPr>
          <w:rFonts w:eastAsia="Calibri"/>
        </w:rPr>
        <w:t>ν</w:t>
      </w:r>
      <w:r>
        <w:rPr>
          <w:rFonts w:eastAsia="Calibri"/>
        </w:rPr>
        <w:t> </w:t>
      </w:r>
      <w:r w:rsidRPr="00455B35">
        <w:rPr>
          <w:rFonts w:eastAsia="Calibri"/>
        </w:rPr>
        <w:t>&lt;</w:t>
      </w:r>
      <w:r>
        <w:rPr>
          <w:rFonts w:eastAsia="Calibri"/>
        </w:rPr>
        <w:t> </w:t>
      </w:r>
      <w:r w:rsidRPr="00455B35">
        <w:rPr>
          <w:rFonts w:eastAsia="Calibri"/>
        </w:rPr>
        <w:t>ω, когда механизм поглощения ВЧ мощности является бесстолкновительным, и области более высоких давления, когда ν</w:t>
      </w:r>
      <w:r>
        <w:rPr>
          <w:rFonts w:eastAsia="Calibri"/>
        </w:rPr>
        <w:t> </w:t>
      </w:r>
      <w:r w:rsidRPr="00455B35">
        <w:rPr>
          <w:rFonts w:eastAsia="Calibri"/>
        </w:rPr>
        <w:t>&gt;</w:t>
      </w:r>
      <w:r>
        <w:rPr>
          <w:rFonts w:eastAsia="Calibri"/>
        </w:rPr>
        <w:t> </w:t>
      </w:r>
      <w:r w:rsidRPr="00455B35">
        <w:rPr>
          <w:rFonts w:eastAsia="Calibri"/>
        </w:rPr>
        <w:t xml:space="preserve">ω, и механизм поглощения ВЧ мощности является столкновительным. Здесь ν и ω </w:t>
      </w:r>
      <w:r w:rsidRPr="00455B35">
        <w:rPr>
          <w:rFonts w:eastAsia="Calibri"/>
          <w:bCs/>
        </w:rPr>
        <w:t xml:space="preserve">– </w:t>
      </w:r>
      <w:r w:rsidRPr="00455B35">
        <w:rPr>
          <w:rFonts w:eastAsia="Calibri"/>
        </w:rPr>
        <w:t>частота столкновений электронов с тяжелыми частицами и круговая рабочая частота.</w:t>
      </w:r>
      <w:r w:rsidRPr="00455B35">
        <w:t xml:space="preserve"> </w:t>
      </w:r>
    </w:p>
    <w:p w:rsidR="00CF576B" w:rsidRPr="00455B35" w:rsidRDefault="00CF576B" w:rsidP="00CF576B">
      <w:pPr>
        <w:pStyle w:val="Zv-bodyreport"/>
        <w:rPr>
          <w:rFonts w:eastAsia="Calibri"/>
        </w:rPr>
      </w:pPr>
      <w:r w:rsidRPr="00455B35">
        <w:t>Эксперименты показали</w:t>
      </w:r>
      <w:r w:rsidRPr="00455B35">
        <w:rPr>
          <w:rFonts w:eastAsia="Calibri"/>
        </w:rPr>
        <w:t>, что</w:t>
      </w:r>
      <w:r w:rsidRPr="00455B35">
        <w:t xml:space="preserve"> п</w:t>
      </w:r>
      <w:r w:rsidRPr="00455B35">
        <w:rPr>
          <w:rFonts w:eastAsia="Calibri"/>
        </w:rPr>
        <w:t>ри выполнении условия ν</w:t>
      </w:r>
      <w:r>
        <w:rPr>
          <w:rFonts w:eastAsia="Calibri"/>
          <w:lang w:val="fr-FR"/>
        </w:rPr>
        <w:t> </w:t>
      </w:r>
      <w:r w:rsidRPr="00455B35">
        <w:rPr>
          <w:rFonts w:eastAsia="Calibri"/>
        </w:rPr>
        <w:t>&lt;</w:t>
      </w:r>
      <w:r>
        <w:rPr>
          <w:rFonts w:eastAsia="Calibri"/>
          <w:lang w:val="fr-FR"/>
        </w:rPr>
        <w:t> </w:t>
      </w:r>
      <w:r w:rsidRPr="00455B35">
        <w:rPr>
          <w:rFonts w:eastAsia="Calibri"/>
        </w:rPr>
        <w:t>ω</w:t>
      </w:r>
      <w:r w:rsidRPr="00455B35">
        <w:t xml:space="preserve"> </w:t>
      </w:r>
      <w:r w:rsidRPr="00455B35">
        <w:rPr>
          <w:rFonts w:eastAsia="Calibri"/>
        </w:rPr>
        <w:t xml:space="preserve">и </w:t>
      </w:r>
      <w:r w:rsidRPr="00455B35">
        <w:rPr>
          <w:rFonts w:eastAsia="Calibri"/>
          <w:i/>
        </w:rPr>
        <w:t>V</w:t>
      </w:r>
      <w:r w:rsidRPr="00455B35">
        <w:rPr>
          <w:rFonts w:eastAsia="Calibri"/>
          <w:vertAlign w:val="subscript"/>
          <w:lang w:val="en-AU"/>
        </w:rPr>
        <w:t>DC</w:t>
      </w:r>
      <w:r w:rsidRPr="00455B35">
        <w:rPr>
          <w:rFonts w:eastAsia="Calibri"/>
        </w:rPr>
        <w:t xml:space="preserve"> = 100 В мощность</w:t>
      </w:r>
      <w:r w:rsidRPr="00455B35">
        <w:t xml:space="preserve"> </w:t>
      </w:r>
      <w:r w:rsidRPr="00455B35">
        <w:rPr>
          <w:rFonts w:eastAsia="Calibri"/>
          <w:i/>
          <w:lang w:val="en-AU"/>
        </w:rPr>
        <w:t>P</w:t>
      </w:r>
      <w:r w:rsidRPr="00455B35">
        <w:rPr>
          <w:rFonts w:eastAsia="Calibri"/>
          <w:vertAlign w:val="subscript"/>
          <w:lang w:val="en-AU"/>
        </w:rPr>
        <w:t>DC</w:t>
      </w:r>
      <w:r w:rsidRPr="00455B35">
        <w:rPr>
          <w:rFonts w:eastAsia="Calibri"/>
        </w:rPr>
        <w:t xml:space="preserve">, поступающая в разряд через КПТ, изменяется пропорционально мощности, поступающей в разряд через индуктивный канал </w:t>
      </w:r>
      <w:r w:rsidRPr="00455B35">
        <w:rPr>
          <w:rFonts w:eastAsia="Calibri"/>
          <w:i/>
          <w:lang w:val="en-AU"/>
        </w:rPr>
        <w:t>P</w:t>
      </w:r>
      <w:r w:rsidRPr="00455B35">
        <w:rPr>
          <w:rFonts w:eastAsia="Calibri"/>
          <w:vertAlign w:val="subscript"/>
          <w:lang w:val="en-AU"/>
        </w:rPr>
        <w:t>pl</w:t>
      </w:r>
      <w:r w:rsidRPr="00455B35">
        <w:rPr>
          <w:rFonts w:eastAsia="Calibri"/>
        </w:rPr>
        <w:t xml:space="preserve">, </w:t>
      </w:r>
      <w:r w:rsidRPr="00455B35">
        <w:t xml:space="preserve">однако </w:t>
      </w:r>
      <w:r w:rsidRPr="00455B35">
        <w:rPr>
          <w:rFonts w:eastAsia="Calibri"/>
        </w:rPr>
        <w:t xml:space="preserve">абсолютные значения </w:t>
      </w:r>
      <w:r w:rsidRPr="00455B35">
        <w:rPr>
          <w:rFonts w:eastAsia="Calibri"/>
          <w:i/>
          <w:lang w:val="en-AU"/>
        </w:rPr>
        <w:t>P</w:t>
      </w:r>
      <w:r w:rsidRPr="00455B35">
        <w:rPr>
          <w:rFonts w:eastAsia="Calibri"/>
          <w:vertAlign w:val="subscript"/>
          <w:lang w:val="en-AU"/>
        </w:rPr>
        <w:t>DC</w:t>
      </w:r>
      <w:r w:rsidRPr="00455B35">
        <w:rPr>
          <w:rFonts w:eastAsia="Calibri"/>
        </w:rPr>
        <w:t xml:space="preserve"> малы по сравнению с величинами </w:t>
      </w:r>
      <w:r w:rsidRPr="00455B35">
        <w:t xml:space="preserve">мощности </w:t>
      </w:r>
      <w:r w:rsidRPr="00455B35">
        <w:rPr>
          <w:rFonts w:eastAsia="Calibri"/>
          <w:i/>
          <w:lang w:val="en-AU"/>
        </w:rPr>
        <w:t>P</w:t>
      </w:r>
      <w:r w:rsidRPr="00455B35">
        <w:rPr>
          <w:rFonts w:eastAsia="Calibri"/>
          <w:vertAlign w:val="subscript"/>
          <w:lang w:val="en-AU"/>
        </w:rPr>
        <w:t>pl</w:t>
      </w:r>
      <w:r w:rsidRPr="00455B35">
        <w:t>,</w:t>
      </w:r>
      <w:r w:rsidRPr="00455B35">
        <w:rPr>
          <w:rFonts w:eastAsia="Calibri"/>
        </w:rPr>
        <w:t xml:space="preserve"> </w:t>
      </w:r>
      <w:r w:rsidRPr="00455B35">
        <w:t>поступающей в разряд через индуктивный канал. А</w:t>
      </w:r>
      <w:r w:rsidRPr="00455B35">
        <w:rPr>
          <w:rFonts w:eastAsia="Calibri"/>
        </w:rPr>
        <w:t>мплитуды ВЧ магнитных полей</w:t>
      </w:r>
      <w:r w:rsidRPr="00455B35">
        <w:t xml:space="preserve"> увеличиваются</w:t>
      </w:r>
      <w:r w:rsidRPr="00455B35">
        <w:rPr>
          <w:rFonts w:eastAsia="Calibri"/>
        </w:rPr>
        <w:t xml:space="preserve">, </w:t>
      </w:r>
      <w:r w:rsidRPr="00455B35">
        <w:t>однако структура возбуждаемых в разряде волн сохраняется. П</w:t>
      </w:r>
      <w:r w:rsidRPr="00455B35">
        <w:rPr>
          <w:rFonts w:eastAsia="Calibri"/>
        </w:rPr>
        <w:t>отенциал плазмы понижается по сравнению с чисто индуктивным разрядом, где в основном объеме плазмы наблюдается равномерное в пределах погрешности эксперимента распределение потенциала.</w:t>
      </w:r>
    </w:p>
    <w:p w:rsidR="00CF576B" w:rsidRPr="00DF2FDC" w:rsidRDefault="00CF576B" w:rsidP="00CF576B">
      <w:pPr>
        <w:pStyle w:val="Zv-bodyreport"/>
      </w:pPr>
      <w:r w:rsidRPr="00455B35">
        <w:t xml:space="preserve">При выполнении условия ν&gt;ω и </w:t>
      </w:r>
      <w:r w:rsidRPr="00DF2FDC">
        <w:t xml:space="preserve">наличии </w:t>
      </w:r>
      <w:r w:rsidRPr="00455B35">
        <w:t>КПТ</w:t>
      </w:r>
      <w:r w:rsidRPr="00DF2FDC">
        <w:t xml:space="preserve"> переход разряда из </w:t>
      </w:r>
      <w:r w:rsidRPr="00455B35">
        <w:rPr>
          <w:i/>
          <w:shd w:val="clear" w:color="auto" w:fill="FFFFFF"/>
        </w:rPr>
        <w:t>Е-</w:t>
      </w:r>
      <w:r w:rsidRPr="00DF2FDC">
        <w:t xml:space="preserve"> в </w:t>
      </w:r>
      <w:r w:rsidRPr="00455B35">
        <w:rPr>
          <w:i/>
          <w:shd w:val="clear" w:color="auto" w:fill="FFFFFF"/>
        </w:rPr>
        <w:t>Н-</w:t>
      </w:r>
      <w:r w:rsidRPr="00DF2FDC">
        <w:t xml:space="preserve">моду смещается в область меньших величин мощности ВЧ генератора. Смещение тем больше, чем большая мощность поступает в разряд через </w:t>
      </w:r>
      <w:r w:rsidRPr="00455B35">
        <w:t>КПТ</w:t>
      </w:r>
      <w:r w:rsidRPr="00DF2FDC">
        <w:t xml:space="preserve">. При мощностях ВЧ генератора, меньших пороговой </w:t>
      </w:r>
      <w:r w:rsidRPr="00455B35">
        <w:rPr>
          <w:i/>
          <w:shd w:val="clear" w:color="auto" w:fill="FFFFFF"/>
        </w:rPr>
        <w:t>Р*</w:t>
      </w:r>
      <w:r w:rsidRPr="00DF2FDC">
        <w:t xml:space="preserve">, при которой происходит переход из </w:t>
      </w:r>
      <w:r w:rsidRPr="00455B35">
        <w:rPr>
          <w:i/>
          <w:shd w:val="clear" w:color="auto" w:fill="FFFFFF"/>
        </w:rPr>
        <w:t>Е-</w:t>
      </w:r>
      <w:r w:rsidRPr="00DF2FDC">
        <w:t xml:space="preserve"> в </w:t>
      </w:r>
      <w:r w:rsidRPr="00455B35">
        <w:rPr>
          <w:i/>
          <w:shd w:val="clear" w:color="auto" w:fill="FFFFFF"/>
        </w:rPr>
        <w:t>Н-</w:t>
      </w:r>
      <w:r w:rsidRPr="00DF2FDC">
        <w:t xml:space="preserve">моду, значения зондового ионного тока насыщения в гибридном разряде существенно превосходят наблюдаемые в чисто индуктивном разряде, причем значения ионного тока насыщения оказываются выше величин, являющихся суммой величин, характерных для ИВЧР и РПТ. Это связано с увеличением доли мощности, поступающей в разряд через индуктивный канал. При мощностях выше </w:t>
      </w:r>
      <w:r w:rsidRPr="00455B35">
        <w:rPr>
          <w:i/>
          <w:shd w:val="clear" w:color="auto" w:fill="FFFFFF"/>
        </w:rPr>
        <w:t>Р*</w:t>
      </w:r>
      <w:r w:rsidRPr="00DF2FDC">
        <w:t xml:space="preserve"> значения ионного тока в гибридном разряде меньше или равны, чем соответствующие величины в индуктивном разряде. </w:t>
      </w:r>
      <w:r w:rsidRPr="00455B35">
        <w:t>Аксиальное распределение зондового ионного тока насыщения выравнивается по сравнению с чисто индуктивным разрядом. При этом при условии, что длина свободного пробега электронов меньше, чем расстояние между антенной и электродом, параметры разряда в области расположения антенны определяются индуктивным каналом, а в области катода – разрядом постоянного тока.</w:t>
      </w:r>
      <w:r w:rsidRPr="00DF2FDC">
        <w:t xml:space="preserve"> </w:t>
      </w:r>
    </w:p>
    <w:p w:rsidR="00654A7B" w:rsidRPr="00DF2FDC" w:rsidRDefault="00654A7B"/>
    <w:sectPr w:rsidR="00654A7B" w:rsidRPr="00DF2FD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6A" w:rsidRDefault="00844D6A">
      <w:r>
        <w:separator/>
      </w:r>
    </w:p>
  </w:endnote>
  <w:endnote w:type="continuationSeparator" w:id="0">
    <w:p w:rsidR="00844D6A" w:rsidRDefault="0084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2A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2A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FD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6A" w:rsidRDefault="00844D6A">
      <w:r>
        <w:separator/>
      </w:r>
    </w:p>
  </w:footnote>
  <w:footnote w:type="continuationSeparator" w:id="0">
    <w:p w:rsidR="00844D6A" w:rsidRDefault="0084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F2FDC">
      <w:rPr>
        <w:sz w:val="20"/>
      </w:rPr>
      <w:t>18</w:t>
    </w:r>
    <w:r>
      <w:rPr>
        <w:sz w:val="20"/>
      </w:rPr>
      <w:t xml:space="preserve"> – </w:t>
    </w:r>
    <w:r w:rsidR="0094721E" w:rsidRPr="00DF2FD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22A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2FD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2A91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44D6A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F576B"/>
    <w:rsid w:val="00D47F19"/>
    <w:rsid w:val="00DA4715"/>
    <w:rsid w:val="00DF1C1D"/>
    <w:rsid w:val="00DF2FDC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CF57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kludova_p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56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1</cp:revision>
  <cp:lastPrinted>1601-01-01T00:00:00Z</cp:lastPrinted>
  <dcterms:created xsi:type="dcterms:W3CDTF">2019-02-06T20:27:00Z</dcterms:created>
  <dcterms:modified xsi:type="dcterms:W3CDTF">2019-02-06T21:23:00Z</dcterms:modified>
</cp:coreProperties>
</file>