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BC" w:rsidRPr="00917727" w:rsidRDefault="001240BC" w:rsidP="001240BC">
      <w:pPr>
        <w:pStyle w:val="Zv-Titlereport"/>
      </w:pPr>
      <w:bookmarkStart w:id="0" w:name="_Hlk532228012"/>
      <w:r>
        <w:t>Плазменные мазеры: актуальное состояние и перспективы развития</w:t>
      </w:r>
    </w:p>
    <w:bookmarkEnd w:id="0"/>
    <w:p w:rsidR="001240BC" w:rsidRDefault="001240BC" w:rsidP="001240BC">
      <w:pPr>
        <w:pStyle w:val="Zv-Author"/>
      </w:pPr>
      <w:r w:rsidRPr="000B256B">
        <w:rPr>
          <w:vertAlign w:val="superscript"/>
        </w:rPr>
        <w:t>1,2</w:t>
      </w:r>
      <w:r w:rsidRPr="00456C2B">
        <w:rPr>
          <w:u w:val="single"/>
        </w:rPr>
        <w:t>Булейко А.Б.</w:t>
      </w:r>
      <w:r w:rsidRPr="000B4172">
        <w:t>,</w:t>
      </w:r>
      <w:r>
        <w:t xml:space="preserve"> </w:t>
      </w:r>
      <w:r>
        <w:rPr>
          <w:vertAlign w:val="superscript"/>
        </w:rPr>
        <w:t>1,3</w:t>
      </w:r>
      <w:r>
        <w:t>Лоза О.Т.</w:t>
      </w:r>
    </w:p>
    <w:p w:rsidR="001240BC" w:rsidRDefault="001240BC" w:rsidP="001240BC">
      <w:pPr>
        <w:pStyle w:val="Zv-Organization"/>
      </w:pPr>
      <w:r w:rsidRPr="00F627A2">
        <w:rPr>
          <w:vertAlign w:val="superscript"/>
        </w:rPr>
        <w:t>1</w:t>
      </w:r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283AE2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F627A2">
        <w:br/>
      </w:r>
      <w:bookmarkStart w:id="1" w:name="_Hlk467592428"/>
      <w:r w:rsidRPr="00F627A2">
        <w:rPr>
          <w:vertAlign w:val="superscript"/>
        </w:rPr>
        <w:t>2</w:t>
      </w:r>
      <w:r>
        <w:rPr>
          <w:szCs w:val="24"/>
        </w:rPr>
        <w:t>АО «Концерн «Вега»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283AE2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1"/>
      <w:r>
        <w:br/>
      </w:r>
      <w:bookmarkStart w:id="2" w:name="_Hlk466654619"/>
      <w:r>
        <w:rPr>
          <w:vertAlign w:val="superscript"/>
        </w:rPr>
        <w:t>3</w:t>
      </w:r>
      <w:r w:rsidRPr="002F20E6">
        <w:rPr>
          <w:szCs w:val="24"/>
        </w:rPr>
        <w:t>Национальный</w:t>
      </w:r>
      <w:r w:rsidRPr="00CE4FA1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CE4FA1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CE4FA1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CE4FA1">
        <w:rPr>
          <w:szCs w:val="24"/>
        </w:rPr>
        <w:t xml:space="preserve"> </w:t>
      </w:r>
      <w:r>
        <w:rPr>
          <w:szCs w:val="24"/>
        </w:rPr>
        <w:t>институт</w:t>
      </w:r>
      <w:r w:rsidRPr="00CE4FA1">
        <w:rPr>
          <w:szCs w:val="24"/>
        </w:rPr>
        <w:t xml:space="preserve">», </w:t>
      </w:r>
      <w:r>
        <w:rPr>
          <w:szCs w:val="24"/>
        </w:rPr>
        <w:t>г</w:t>
      </w:r>
      <w:r w:rsidRPr="00CE4FA1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CE4FA1">
        <w:rPr>
          <w:szCs w:val="24"/>
        </w:rPr>
        <w:t>,</w:t>
      </w:r>
      <w:r w:rsidRPr="001240BC">
        <w:rPr>
          <w:szCs w:val="24"/>
        </w:rPr>
        <w:br/>
      </w:r>
      <w:r w:rsidRPr="00BA7277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2"/>
    </w:p>
    <w:p w:rsidR="001240BC" w:rsidRPr="00917727" w:rsidRDefault="001240BC" w:rsidP="001240BC">
      <w:pPr>
        <w:pStyle w:val="Zv-bodyreport"/>
      </w:pPr>
      <w:r>
        <w:t xml:space="preserve">Все плазменные мазеры основаны на черенковском взаимодействии релятивистских электронов и медленной волны пространственно-ограниченной плазмы. Фазовая и групповая скорости этой волны сонаправлены, поэтому плазменный мазер – это лампа бегущей волны (ЛБВ), в которой плазма играет роль замедляющей структуры (рисунок). Таким образом, основой любого плазменного мазера является усилитель волны. Исторически первым и наиболее распространенным стал плазменный генератор СВЧ-импульсов усилитель с обратной связью. Менее распространены плазменные мазеры – усилители внешнего сигнала. В последние годы появились работы, посвященные плазменному усилителю собственных шумов, который не требует входного сигнала и в этом смысле является генератором. В отличие от генератора на основе усилителя с обратной связью и усилителя внешнего сигнала, усилитель шума еще не имеет экспериментальной реализации. Расчеты показывают, однако, что и ширина полосы электронной перестройки частоты излучения, и электронный КПД усилителя шумов такие же, как у автогенератора [1]. Различные конфигурации плазменных мазеров описаны в [2].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396"/>
      </w:tblGrid>
      <w:tr w:rsidR="001240BC" w:rsidRPr="00917727" w:rsidTr="00E0085B">
        <w:trPr>
          <w:trHeight w:val="2625"/>
        </w:trPr>
        <w:tc>
          <w:tcPr>
            <w:tcW w:w="3396" w:type="dxa"/>
          </w:tcPr>
          <w:p w:rsidR="001240BC" w:rsidRPr="00917727" w:rsidRDefault="001240BC" w:rsidP="00E0085B">
            <w:pPr>
              <w:ind w:firstLine="28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00250" cy="1600200"/>
                  <wp:effectExtent l="19050" t="0" r="0" b="0"/>
                  <wp:wrapSquare wrapText="bothSides"/>
                  <wp:docPr id="2" name="Рисунок 2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40BC" w:rsidRPr="0079573D" w:rsidTr="00E0085B">
        <w:tc>
          <w:tcPr>
            <w:tcW w:w="3396" w:type="dxa"/>
          </w:tcPr>
          <w:p w:rsidR="001240BC" w:rsidRPr="0079573D" w:rsidRDefault="001240BC" w:rsidP="00E0085B">
            <w:pPr>
              <w:ind w:firstLine="284"/>
              <w:jc w:val="both"/>
            </w:pPr>
            <w:r>
              <w:t>Рисунок. Упрощенная схема плазменного мазера.</w:t>
            </w:r>
            <w:r w:rsidRPr="007517B4">
              <w:t xml:space="preserve"> </w:t>
            </w:r>
            <w:r>
              <w:t xml:space="preserve">1 — волновод, 2 и 3 — релятивистский электронный пучок и плазма, или наоборот, 4 — коаксиальный волновод, 5 – центральный электрод. </w:t>
            </w:r>
          </w:p>
        </w:tc>
      </w:tr>
    </w:tbl>
    <w:p w:rsidR="001240BC" w:rsidRDefault="001240BC" w:rsidP="001240BC">
      <w:pPr>
        <w:pStyle w:val="Zv-bodyreport"/>
      </w:pPr>
      <w:r>
        <w:t>Пути развития плазменных мазеров определяются возможными областями их использования. Расширение частотного диапазона потребует увеличения частоты излучения плазменных мазеров до 10</w:t>
      </w:r>
      <w:r>
        <w:rPr>
          <w:vertAlign w:val="superscript"/>
        </w:rPr>
        <w:t>11</w:t>
      </w:r>
      <w:r>
        <w:t> Гц и более, используя более плотную плазму. Стремление сделать широкий спектр излучения более однородным по частоте заставит заменить авто</w:t>
      </w:r>
      <w:bookmarkStart w:id="3" w:name="_GoBack"/>
      <w:bookmarkEnd w:id="3"/>
      <w:r>
        <w:t xml:space="preserve">генераторы усилителями шума. Существенное повышение КПД плазменных мазеров «от розетки» может быть реализовано путем отказа от использования импульсных соленоидов, что можно осуществить, используя либо соленоиды из сверхпроводников, либо магнитную самоизоляцию [3]. Наконец, снижение задержки формирования импульса излучения относительно внешнего запуска до ~ 1 мс заставит отказаться от использования термокатодов для формирования плазмы. </w:t>
      </w:r>
    </w:p>
    <w:p w:rsidR="00654A7B" w:rsidRDefault="00654A7B">
      <w:pPr>
        <w:rPr>
          <w:lang w:val="en-US"/>
        </w:rPr>
      </w:pPr>
    </w:p>
    <w:p w:rsidR="00BA7277" w:rsidRDefault="00BA7277">
      <w:pPr>
        <w:rPr>
          <w:lang w:val="en-US"/>
        </w:rPr>
      </w:pPr>
    </w:p>
    <w:p w:rsidR="00BA7277" w:rsidRDefault="00BA7277" w:rsidP="00BA7277">
      <w:pPr>
        <w:pStyle w:val="Zv-TitleReferences-ru"/>
      </w:pPr>
      <w:r>
        <w:t>Литература</w:t>
      </w:r>
    </w:p>
    <w:p w:rsidR="00BA7277" w:rsidRDefault="00BA7277" w:rsidP="00BA7277">
      <w:pPr>
        <w:pStyle w:val="Zv-References-ru"/>
      </w:pPr>
      <w:r w:rsidRPr="007425B9">
        <w:t xml:space="preserve">Ернылева С.Е., Лоза О.Т. Плазменный релятивистский СВЧ-усилитель шума с инверсной геометрией // Плазменная электроника. </w:t>
      </w:r>
      <w:r>
        <w:t>М.: Наука, 2016, с. 128-133</w:t>
      </w:r>
    </w:p>
    <w:p w:rsidR="00BA7277" w:rsidRDefault="00BA7277" w:rsidP="00BA7277">
      <w:pPr>
        <w:pStyle w:val="Zv-References-ru"/>
      </w:pPr>
      <w:r>
        <w:t>Ернылева С.Е., Лоза О.Т. Конфигурации импульсно-периодических плазменных релятивистских СВЧ-генераторов// Прикладная физика, №1, 2014, с. 17-20</w:t>
      </w:r>
    </w:p>
    <w:p w:rsidR="00BA7277" w:rsidRPr="00425E9C" w:rsidRDefault="00BA7277" w:rsidP="00BA7277">
      <w:pPr>
        <w:pStyle w:val="Zv-References-ru"/>
        <w:rPr>
          <w:lang w:val="en-US"/>
        </w:rPr>
      </w:pPr>
      <w:r w:rsidRPr="007425B9">
        <w:rPr>
          <w:lang w:val="en-US"/>
        </w:rPr>
        <w:t>Litvin V. O., and Loza O. T. High-power broadband plasma maser with magnetic self-insulation // Physics of plasmas, 25,013105, (2018</w:t>
      </w:r>
      <w:r w:rsidRPr="00425E9C">
        <w:rPr>
          <w:i/>
          <w:lang w:val="en-US"/>
        </w:rPr>
        <w:t>)</w:t>
      </w:r>
    </w:p>
    <w:p w:rsidR="00BA7277" w:rsidRPr="00BA7277" w:rsidRDefault="00BA7277">
      <w:pPr>
        <w:rPr>
          <w:lang w:val="en-US"/>
        </w:rPr>
      </w:pPr>
    </w:p>
    <w:sectPr w:rsidR="00BA7277" w:rsidRPr="00BA727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23" w:rsidRDefault="006B5B23">
      <w:r>
        <w:separator/>
      </w:r>
    </w:p>
  </w:endnote>
  <w:endnote w:type="continuationSeparator" w:id="0">
    <w:p w:rsidR="006B5B23" w:rsidRDefault="006B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7E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7E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2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23" w:rsidRDefault="006B5B23">
      <w:r>
        <w:separator/>
      </w:r>
    </w:p>
  </w:footnote>
  <w:footnote w:type="continuationSeparator" w:id="0">
    <w:p w:rsidR="006B5B23" w:rsidRDefault="006B5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240BC">
      <w:rPr>
        <w:sz w:val="20"/>
      </w:rPr>
      <w:t>18</w:t>
    </w:r>
    <w:r>
      <w:rPr>
        <w:sz w:val="20"/>
      </w:rPr>
      <w:t xml:space="preserve"> – </w:t>
    </w:r>
    <w:r w:rsidR="0094721E" w:rsidRPr="001240B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67EF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764C"/>
    <w:multiLevelType w:val="hybridMultilevel"/>
    <w:tmpl w:val="33F8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7277"/>
    <w:rsid w:val="00037DCC"/>
    <w:rsid w:val="00043701"/>
    <w:rsid w:val="000C7078"/>
    <w:rsid w:val="000D76E9"/>
    <w:rsid w:val="000E495B"/>
    <w:rsid w:val="001240BC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B5B2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A7277"/>
    <w:rsid w:val="00BD05EF"/>
    <w:rsid w:val="00C103CD"/>
    <w:rsid w:val="00C232A0"/>
    <w:rsid w:val="00CA791E"/>
    <w:rsid w:val="00CE0E75"/>
    <w:rsid w:val="00D47F19"/>
    <w:rsid w:val="00D67EF4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0B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ПЛАЗМЕННЫЕ МАЗЕРЫ: АКТУАЛЬНОЕ СОСТОЯНИЕ И ПЕРСПЕКТИВЫ РАЗВИТИЯ</dc:title>
  <dc:creator>sato</dc:creator>
  <cp:lastModifiedBy>Сатунин</cp:lastModifiedBy>
  <cp:revision>2</cp:revision>
  <cp:lastPrinted>1601-01-01T00:00:00Z</cp:lastPrinted>
  <dcterms:created xsi:type="dcterms:W3CDTF">2019-02-06T10:32:00Z</dcterms:created>
  <dcterms:modified xsi:type="dcterms:W3CDTF">2019-02-06T10:47:00Z</dcterms:modified>
</cp:coreProperties>
</file>