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F7" w:rsidRPr="00AD7AD0" w:rsidRDefault="00B44CF7" w:rsidP="00B44CF7">
      <w:pPr>
        <w:pStyle w:val="Zv-Titlereport"/>
      </w:pPr>
      <w:bookmarkStart w:id="0" w:name="_Hlk532232582"/>
      <w:r w:rsidRPr="00AD7AD0">
        <w:t>Наноструктурный тонкий слой пористости карбида кремния: компьютерное моделирование Броуновского движения дефектов</w:t>
      </w:r>
    </w:p>
    <w:bookmarkEnd w:id="0"/>
    <w:p w:rsidR="00B44CF7" w:rsidRPr="00AD7AD0" w:rsidRDefault="00B44CF7" w:rsidP="00B44CF7">
      <w:pPr>
        <w:pStyle w:val="Zv-Author"/>
      </w:pPr>
      <w:r w:rsidRPr="00AD7AD0">
        <w:t>Змиевская Г.И.</w:t>
      </w:r>
    </w:p>
    <w:p w:rsidR="00B44CF7" w:rsidRPr="00B44CF7" w:rsidRDefault="00B44CF7" w:rsidP="00B44CF7">
      <w:pPr>
        <w:pStyle w:val="Zv-Organization"/>
        <w:rPr>
          <w:szCs w:val="24"/>
        </w:rPr>
      </w:pPr>
      <w:r w:rsidRPr="00FD4CD4">
        <w:t xml:space="preserve"> Институт прикладной математики им. М.В. Келдыша РАН , </w:t>
      </w:r>
      <w:hyperlink r:id="rId7" w:history="1">
        <w:r w:rsidRPr="003754D0">
          <w:rPr>
            <w:rStyle w:val="a7"/>
            <w:lang w:val="ru-RU" w:eastAsia="ru-RU" w:bidi="ar-SA"/>
          </w:rPr>
          <w:t>zmig</w:t>
        </w:r>
        <w:r w:rsidRPr="003754D0">
          <w:rPr>
            <w:rStyle w:val="a7"/>
            <w:szCs w:val="24"/>
            <w:lang w:val="ru-RU" w:eastAsia="ru-RU" w:bidi="ar-SA"/>
          </w:rPr>
          <w:t>@mail.ru</w:t>
        </w:r>
      </w:hyperlink>
    </w:p>
    <w:p w:rsidR="00B44CF7" w:rsidRPr="00E17CA7" w:rsidRDefault="00B44CF7" w:rsidP="00B44CF7">
      <w:pPr>
        <w:pStyle w:val="Zv-bodyreport"/>
      </w:pPr>
      <w:r w:rsidRPr="00E17CA7">
        <w:t>К наноструктурированным средам относятся пористые полупроводниковые материалы, размеры пор и кристаллической части образца составляют от единиц до сотен нанометров, а</w:t>
      </w:r>
      <w:r>
        <w:t xml:space="preserve"> </w:t>
      </w:r>
      <w:r w:rsidRPr="00E17CA7">
        <w:t>широкий диапазон пористости</w:t>
      </w:r>
      <w:r>
        <w:t xml:space="preserve"> </w:t>
      </w:r>
      <w:r w:rsidRPr="00E17CA7">
        <w:t>в материалах создает</w:t>
      </w:r>
      <w:r>
        <w:t xml:space="preserve"> </w:t>
      </w:r>
      <w:r w:rsidRPr="00E17CA7">
        <w:t>не только различную дисперсность, но и оптические, люминесцентные и электрические свойства, что предполагает их использование в солнечных батареях, фотодетекторах, светодиодах, фотонных кристаллах, электролюминесцентных дисплеях, термоизоляторах, волноводах, а также разного рода датчиках, газоанализаторах, сенсорах. Свойства пористого карбида кремния, SiC, и методы создания пористости актуальны, в том числе и средствами вычислительного эксперимента</w:t>
      </w:r>
      <w:r>
        <w:t> </w:t>
      </w:r>
      <w:r w:rsidRPr="00E17CA7">
        <w:t xml:space="preserve">[1] </w:t>
      </w:r>
      <w:r>
        <w:t xml:space="preserve">– </w:t>
      </w:r>
      <w:r w:rsidRPr="00E17CA7">
        <w:t>моделирования плазмоподобной кристаллической среды</w:t>
      </w:r>
      <w:r>
        <w:t xml:space="preserve"> с неточечными радиационными </w:t>
      </w:r>
      <w:r w:rsidRPr="00E17CA7">
        <w:t>дефектами(порами), формирование и броуновское движение которых определяется упругими свойствами решетки</w:t>
      </w:r>
      <w:r>
        <w:t xml:space="preserve"> </w:t>
      </w:r>
      <w:r w:rsidRPr="00E17CA7">
        <w:t>(включая колебания акустических фононов).</w:t>
      </w:r>
      <w:r w:rsidRPr="00E17CA7">
        <w:rPr>
          <w:rFonts w:eastAsia="Liberation Serif"/>
        </w:rPr>
        <w:t xml:space="preserve"> </w:t>
      </w:r>
      <w:r w:rsidRPr="00E17CA7">
        <w:t>При</w:t>
      </w:r>
      <w:r w:rsidRPr="00E17CA7">
        <w:rPr>
          <w:rFonts w:eastAsia="Liberation Serif"/>
        </w:rPr>
        <w:t xml:space="preserve"> </w:t>
      </w:r>
      <w:r w:rsidRPr="00E17CA7">
        <w:t>температуре</w:t>
      </w:r>
      <w:r w:rsidRPr="00E17CA7">
        <w:rPr>
          <w:rFonts w:eastAsia="Liberation Serif"/>
        </w:rPr>
        <w:t xml:space="preserve"> </w:t>
      </w:r>
      <w:r w:rsidRPr="00E17CA7">
        <w:t>900</w:t>
      </w:r>
      <w:r>
        <w:t> </w:t>
      </w:r>
      <w:r w:rsidRPr="00E17CA7">
        <w:t>K</w:t>
      </w:r>
      <w:r w:rsidRPr="00E17CA7">
        <w:rPr>
          <w:rFonts w:eastAsia="Liberation Serif"/>
        </w:rPr>
        <w:t xml:space="preserve"> </w:t>
      </w:r>
      <w:r w:rsidRPr="00E17CA7">
        <w:t>моделировалась</w:t>
      </w:r>
      <w:r w:rsidRPr="00E17CA7">
        <w:rPr>
          <w:rFonts w:eastAsia="Liberation Serif"/>
        </w:rPr>
        <w:t xml:space="preserve"> </w:t>
      </w:r>
      <w:r w:rsidRPr="00E17CA7">
        <w:t>имплантация</w:t>
      </w:r>
      <w:r w:rsidRPr="00E17CA7">
        <w:rPr>
          <w:rFonts w:eastAsia="Liberation Serif"/>
        </w:rPr>
        <w:t xml:space="preserve"> </w:t>
      </w:r>
      <w:r w:rsidRPr="00E17CA7">
        <w:t>потока</w:t>
      </w:r>
      <w:r w:rsidRPr="00E17CA7">
        <w:rPr>
          <w:rFonts w:eastAsia="Liberation Serif"/>
        </w:rPr>
        <w:t xml:space="preserve"> </w:t>
      </w:r>
      <w:r w:rsidRPr="00E17CA7">
        <w:t>ионов</w:t>
      </w:r>
      <w:r w:rsidRPr="00E17CA7">
        <w:rPr>
          <w:rFonts w:eastAsia="Liberation Serif"/>
        </w:rPr>
        <w:t xml:space="preserve"> </w:t>
      </w:r>
      <w:r w:rsidRPr="00E17CA7">
        <w:t>Xe</w:t>
      </w:r>
      <w:r w:rsidRPr="00FD4CD4">
        <w:rPr>
          <w:vertAlign w:val="superscript"/>
        </w:rPr>
        <w:t>++</w:t>
      </w:r>
      <w:r w:rsidRPr="00FD4CD4">
        <w:rPr>
          <w:rFonts w:eastAsia="Liberation Serif"/>
          <w:vertAlign w:val="superscript"/>
        </w:rPr>
        <w:t xml:space="preserve"> </w:t>
      </w:r>
      <w:r w:rsidRPr="00E17CA7">
        <w:t>с</w:t>
      </w:r>
      <w:r w:rsidRPr="00E17CA7">
        <w:rPr>
          <w:rFonts w:eastAsia="Liberation Serif"/>
        </w:rPr>
        <w:t xml:space="preserve"> </w:t>
      </w:r>
      <w:r w:rsidRPr="00E17CA7">
        <w:t>энергией</w:t>
      </w:r>
      <w:r w:rsidRPr="00E17CA7">
        <w:rPr>
          <w:rFonts w:eastAsia="Liberation Serif"/>
        </w:rPr>
        <w:t xml:space="preserve"> </w:t>
      </w:r>
      <w:r w:rsidRPr="00E17CA7">
        <w:t>~5</w:t>
      </w:r>
      <w:r w:rsidRPr="00FD4CD4">
        <w:t xml:space="preserve"> </w:t>
      </w:r>
      <w:r>
        <w:t>кэВ</w:t>
      </w:r>
      <w:r w:rsidRPr="00E17CA7">
        <w:t>,</w:t>
      </w:r>
      <w:r w:rsidRPr="00E17CA7">
        <w:rPr>
          <w:rFonts w:eastAsia="Liberation Serif"/>
        </w:rPr>
        <w:t xml:space="preserve"> </w:t>
      </w:r>
      <w:r w:rsidRPr="00E17CA7">
        <w:t>время</w:t>
      </w:r>
      <w:r w:rsidRPr="00E17CA7">
        <w:rPr>
          <w:rFonts w:eastAsia="Liberation Serif"/>
        </w:rPr>
        <w:t xml:space="preserve"> </w:t>
      </w:r>
      <w:r w:rsidRPr="00E17CA7">
        <w:t>облучения</w:t>
      </w:r>
      <w:r w:rsidRPr="00E17CA7">
        <w:rPr>
          <w:rFonts w:eastAsia="Liberation Serif"/>
        </w:rPr>
        <w:t xml:space="preserve"> </w:t>
      </w:r>
      <w:r w:rsidRPr="00E17CA7">
        <w:t>задано</w:t>
      </w:r>
      <w:r w:rsidRPr="00E17CA7">
        <w:rPr>
          <w:rFonts w:eastAsia="Liberation Serif"/>
        </w:rPr>
        <w:t xml:space="preserve"> </w:t>
      </w:r>
      <w:r w:rsidRPr="00E17CA7">
        <w:t>дозой</w:t>
      </w:r>
      <w:r>
        <w:t xml:space="preserve"> ~10</w:t>
      </w:r>
      <w:r w:rsidRPr="00FD4CD4">
        <w:rPr>
          <w:vertAlign w:val="superscript"/>
        </w:rPr>
        <w:t>16</w:t>
      </w:r>
      <w:r w:rsidRPr="00E17CA7">
        <w:rPr>
          <w:rFonts w:eastAsia="Liberation Serif"/>
        </w:rPr>
        <w:t xml:space="preserve"> </w:t>
      </w:r>
      <w:r>
        <w:t>см</w:t>
      </w:r>
      <w:r w:rsidRPr="00FD4CD4">
        <w:rPr>
          <w:vertAlign w:val="superscript"/>
        </w:rPr>
        <w:t>–2</w:t>
      </w:r>
      <w:r w:rsidRPr="00E17CA7">
        <w:t>,</w:t>
      </w:r>
      <w:r w:rsidRPr="00E17CA7">
        <w:rPr>
          <w:rFonts w:eastAsia="Liberation Serif"/>
        </w:rPr>
        <w:t xml:space="preserve"> </w:t>
      </w:r>
      <w:r w:rsidRPr="00E17CA7">
        <w:t>перколяционный</w:t>
      </w:r>
      <w:r w:rsidRPr="00E17CA7">
        <w:rPr>
          <w:rFonts w:eastAsia="Liberation Serif"/>
        </w:rPr>
        <w:t xml:space="preserve"> </w:t>
      </w:r>
      <w:r w:rsidRPr="00E17CA7">
        <w:t>анализ</w:t>
      </w:r>
      <w:r w:rsidRPr="00E17CA7">
        <w:rPr>
          <w:rFonts w:eastAsia="Liberation Serif"/>
        </w:rPr>
        <w:t xml:space="preserve"> </w:t>
      </w:r>
      <w:r w:rsidRPr="00E17CA7">
        <w:t>распределения</w:t>
      </w:r>
      <w:r w:rsidRPr="00E17CA7">
        <w:rPr>
          <w:rFonts w:eastAsia="Liberation Serif"/>
        </w:rPr>
        <w:t xml:space="preserve"> </w:t>
      </w:r>
      <w:r w:rsidRPr="00E17CA7">
        <w:t>пор</w:t>
      </w:r>
      <w:r w:rsidRPr="00E17CA7">
        <w:rPr>
          <w:rFonts w:eastAsia="Liberation Serif"/>
        </w:rPr>
        <w:t xml:space="preserve"> </w:t>
      </w:r>
      <w:r w:rsidRPr="00E17CA7">
        <w:t>позволил</w:t>
      </w:r>
      <w:r w:rsidRPr="00E17CA7">
        <w:rPr>
          <w:rFonts w:eastAsia="Liberation Serif"/>
        </w:rPr>
        <w:t xml:space="preserve"> </w:t>
      </w:r>
      <w:r w:rsidRPr="00E17CA7">
        <w:t>оценить</w:t>
      </w:r>
      <w:r w:rsidRPr="00E17CA7">
        <w:rPr>
          <w:rFonts w:eastAsia="Liberation Serif"/>
        </w:rPr>
        <w:t xml:space="preserve"> </w:t>
      </w:r>
      <w:r w:rsidRPr="00E17CA7">
        <w:t>размеры</w:t>
      </w:r>
      <w:r w:rsidRPr="00E17CA7">
        <w:rPr>
          <w:rFonts w:eastAsia="Liberation Serif"/>
        </w:rPr>
        <w:t xml:space="preserve"> </w:t>
      </w:r>
      <w:r w:rsidRPr="00E17CA7">
        <w:t>предтрещин</w:t>
      </w:r>
      <w:r w:rsidRPr="00E17CA7">
        <w:rPr>
          <w:rFonts w:eastAsia="Liberation Serif"/>
        </w:rPr>
        <w:t xml:space="preserve"> </w:t>
      </w:r>
      <w:r w:rsidRPr="00E17CA7">
        <w:t>~40</w:t>
      </w:r>
      <w:r>
        <w:t> – </w:t>
      </w:r>
      <w:r w:rsidRPr="00E17CA7">
        <w:t>60</w:t>
      </w:r>
      <w:r w:rsidRPr="00E17CA7">
        <w:rPr>
          <w:rFonts w:eastAsia="Liberation Serif"/>
        </w:rPr>
        <w:t xml:space="preserve"> </w:t>
      </w:r>
      <w:r w:rsidRPr="00E17CA7">
        <w:t>нм</w:t>
      </w:r>
      <w:r w:rsidRPr="00E17CA7">
        <w:rPr>
          <w:rFonts w:eastAsia="Liberation Serif"/>
        </w:rPr>
        <w:t xml:space="preserve"> </w:t>
      </w:r>
      <w:r w:rsidRPr="00E17CA7">
        <w:t>и</w:t>
      </w:r>
      <w:r w:rsidRPr="00E17CA7">
        <w:rPr>
          <w:rFonts w:eastAsia="Liberation Serif"/>
        </w:rPr>
        <w:t xml:space="preserve"> </w:t>
      </w:r>
      <w:r w:rsidRPr="00E17CA7">
        <w:t>растягивающие</w:t>
      </w:r>
      <w:r w:rsidRPr="00E17CA7">
        <w:rPr>
          <w:rFonts w:eastAsia="Liberation Serif"/>
        </w:rPr>
        <w:t xml:space="preserve"> </w:t>
      </w:r>
      <w:r w:rsidRPr="00E17CA7">
        <w:t>напряжения</w:t>
      </w:r>
      <w:r w:rsidRPr="00E17CA7">
        <w:rPr>
          <w:rFonts w:eastAsia="Liberation Serif"/>
        </w:rPr>
        <w:t xml:space="preserve"> </w:t>
      </w:r>
      <w:r w:rsidRPr="00E17CA7">
        <w:t>в</w:t>
      </w:r>
      <w:r w:rsidRPr="00E17CA7">
        <w:rPr>
          <w:rFonts w:eastAsia="Liberation Serif"/>
        </w:rPr>
        <w:t xml:space="preserve"> </w:t>
      </w:r>
      <w:r w:rsidRPr="00E17CA7">
        <w:t>решетке</w:t>
      </w:r>
      <w:r w:rsidRPr="00E17CA7">
        <w:rPr>
          <w:rFonts w:eastAsia="Liberation Serif"/>
        </w:rPr>
        <w:t xml:space="preserve"> </w:t>
      </w:r>
      <w:r w:rsidRPr="00E17CA7">
        <w:t>порядка</w:t>
      </w:r>
      <w:r w:rsidRPr="00E17CA7">
        <w:rPr>
          <w:rFonts w:eastAsia="Liberation Serif"/>
        </w:rPr>
        <w:t xml:space="preserve"> </w:t>
      </w:r>
      <w:r w:rsidRPr="00E17CA7">
        <w:t>10</w:t>
      </w:r>
      <w:r w:rsidRPr="00FD4CD4">
        <w:rPr>
          <w:vertAlign w:val="superscript"/>
        </w:rPr>
        <w:t>15</w:t>
      </w:r>
      <w:r w:rsidRPr="00E17CA7">
        <w:rPr>
          <w:rFonts w:eastAsia="Liberation Serif"/>
        </w:rPr>
        <w:t xml:space="preserve"> </w:t>
      </w:r>
      <w:r>
        <w:rPr>
          <w:rFonts w:eastAsia="Liberation Serif"/>
        </w:rPr>
        <w:t>ГПа</w:t>
      </w:r>
      <w:r w:rsidRPr="00E17CA7">
        <w:t xml:space="preserve">, определена степень дисперсности среды в зависимости от условий численных экспериментов и спектры фликер-шума. Условия создания структур пористости были рассмотрены в модели броуновского движения дефектов как стохастической системы </w:t>
      </w:r>
      <w:r>
        <w:t>–</w:t>
      </w:r>
      <w:r w:rsidRPr="00E17CA7">
        <w:t xml:space="preserve"> генератора Ван-дер-Поля в условиях автогенерации [2].</w:t>
      </w:r>
      <w:r>
        <w:t xml:space="preserve"> </w:t>
      </w:r>
      <w:r w:rsidRPr="00E17CA7">
        <w:t>Поведение</w:t>
      </w:r>
      <w:r>
        <w:t xml:space="preserve"> </w:t>
      </w:r>
      <w:r w:rsidRPr="00E17CA7">
        <w:t>2D модели изучено с</w:t>
      </w:r>
      <w:r>
        <w:t xml:space="preserve"> </w:t>
      </w:r>
      <w:r w:rsidRPr="00E17CA7">
        <w:t>помощью кинетического уравнения Фоккера-Планка-Колмогорова для плотности переходной вероятности (кинетической функции распределения</w:t>
      </w:r>
      <w:r>
        <w:t xml:space="preserve"> </w:t>
      </w:r>
      <w:r w:rsidRPr="00E17CA7">
        <w:t>f(x,V,</w:t>
      </w:r>
      <w:r>
        <w:t xml:space="preserve">t), где х – </w:t>
      </w:r>
      <w:r w:rsidRPr="00E17CA7">
        <w:t>координата, V</w:t>
      </w:r>
      <w:r>
        <w:t xml:space="preserve"> –</w:t>
      </w:r>
      <w:r w:rsidRPr="00E17CA7">
        <w:t xml:space="preserve"> скорость, t</w:t>
      </w:r>
      <w:r>
        <w:t xml:space="preserve"> –</w:t>
      </w:r>
      <w:r w:rsidRPr="00E17CA7">
        <w:t xml:space="preserve"> время) и</w:t>
      </w:r>
      <w:r>
        <w:t xml:space="preserve"> </w:t>
      </w:r>
      <w:r w:rsidRPr="00E17CA7">
        <w:t>стохастического аналога модели- стохастических дифференциальных уравнений Ланжевена. Приводится диагностика f(x,V,t), и ее визуализация для различных</w:t>
      </w:r>
      <w:r>
        <w:t xml:space="preserve"> </w:t>
      </w:r>
      <w:r w:rsidRPr="00E17CA7">
        <w:t>режимов генератора Ван-дер-Поля при варьировании интенсивности шума.</w:t>
      </w:r>
      <w:r>
        <w:t xml:space="preserve"> </w:t>
      </w:r>
      <w:r w:rsidRPr="00E17CA7">
        <w:t>Модель позволяет сравнить состояние фазового пространства стохастических переменных при изменении соотношения физических величин, которыми в модели характеризу</w:t>
      </w:r>
      <w:r>
        <w:t>ется фазовый переход: α, β, γ –</w:t>
      </w:r>
      <w:r w:rsidRPr="00E17CA7">
        <w:t xml:space="preserve"> коэффициентах обратной связи, линейного и нелинейного трения соответственно. </w:t>
      </w:r>
    </w:p>
    <w:p w:rsidR="00B44CF7" w:rsidRDefault="00B44CF7" w:rsidP="00B44CF7">
      <w:pPr>
        <w:pStyle w:val="Zv-bodyreport"/>
      </w:pPr>
      <w:r w:rsidRPr="00E17CA7">
        <w:t>Работа частично поддержана грантом РФФИ 18-018-00436.</w:t>
      </w:r>
      <w:r w:rsidRPr="00D16328">
        <w:t xml:space="preserve"> </w:t>
      </w:r>
    </w:p>
    <w:p w:rsidR="00B44CF7" w:rsidRPr="00D16328" w:rsidRDefault="00B44CF7" w:rsidP="00B44CF7">
      <w:pPr>
        <w:pStyle w:val="Zv-TitleReferences-ru"/>
      </w:pPr>
      <w:r>
        <w:t>Литература</w:t>
      </w:r>
    </w:p>
    <w:p w:rsidR="00B44CF7" w:rsidRPr="00E17CA7" w:rsidRDefault="00B44CF7" w:rsidP="00B44CF7">
      <w:pPr>
        <w:pStyle w:val="Zv-References-ru"/>
        <w:numPr>
          <w:ilvl w:val="0"/>
          <w:numId w:val="1"/>
        </w:numPr>
      </w:pPr>
      <w:r w:rsidRPr="00E06D30">
        <w:rPr>
          <w:lang w:val="en-US"/>
        </w:rPr>
        <w:t xml:space="preserve">G.I. Zmievskaya, T.A. Averina, and A.L. Bondareva. Numerical solution of stochastic differential equations in the sense of Stratonovich in an amorphization crystal lattice model. </w:t>
      </w:r>
      <w:r w:rsidRPr="00E17CA7">
        <w:t>Applied Numerical Mathematics,15–29, 2015.</w:t>
      </w:r>
    </w:p>
    <w:p w:rsidR="00B44CF7" w:rsidRPr="00E17CA7" w:rsidRDefault="00B44CF7" w:rsidP="00B44CF7">
      <w:pPr>
        <w:pStyle w:val="Zv-References-ru"/>
        <w:numPr>
          <w:ilvl w:val="0"/>
          <w:numId w:val="1"/>
        </w:numPr>
      </w:pPr>
      <w:r w:rsidRPr="00E06D30">
        <w:rPr>
          <w:lang w:val="en-US"/>
        </w:rPr>
        <w:t xml:space="preserve">2 Yu.L. Klimontovich. Statistical Theory of Open Systems. </w:t>
      </w:r>
      <w:r w:rsidRPr="00E17CA7">
        <w:t>Dodrecht: Kluwer Acad, Publ., 1995.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23" w:rsidRDefault="00BF5623">
      <w:r>
        <w:separator/>
      </w:r>
    </w:p>
  </w:endnote>
  <w:endnote w:type="continuationSeparator" w:id="0">
    <w:p w:rsidR="00BF5623" w:rsidRDefault="00BF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25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25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CF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23" w:rsidRDefault="00BF5623">
      <w:r>
        <w:separator/>
      </w:r>
    </w:p>
  </w:footnote>
  <w:footnote w:type="continuationSeparator" w:id="0">
    <w:p w:rsidR="00BF5623" w:rsidRDefault="00BF5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44CF7">
      <w:rPr>
        <w:sz w:val="20"/>
      </w:rPr>
      <w:t>18</w:t>
    </w:r>
    <w:r>
      <w:rPr>
        <w:sz w:val="20"/>
      </w:rPr>
      <w:t xml:space="preserve"> – </w:t>
    </w:r>
    <w:r w:rsidR="0094721E" w:rsidRPr="00B44CF7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B25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562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B25E1"/>
    <w:rsid w:val="008E2894"/>
    <w:rsid w:val="0094721E"/>
    <w:rsid w:val="00A66876"/>
    <w:rsid w:val="00A71613"/>
    <w:rsid w:val="00AB3459"/>
    <w:rsid w:val="00B44CF7"/>
    <w:rsid w:val="00B622ED"/>
    <w:rsid w:val="00B9584E"/>
    <w:rsid w:val="00BD05EF"/>
    <w:rsid w:val="00BF5623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44CF7"/>
    <w:rPr>
      <w:color w:val="0000DA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mi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НАНОСТРУКТУРНЫЙ ТОНКИЙ СЛОЙ ПОРИСТОСТИ КАРБИДА КРЕМНИЯ: КОМПЬЮТЕРНОЕ МОДЕЛИРОВАНИЕ БРОУНОВСКОГО ДВИЖЕНИЯ ДЕФЕКТОВ</dc:title>
  <dc:creator>sato</dc:creator>
  <cp:lastModifiedBy>Сатунин</cp:lastModifiedBy>
  <cp:revision>1</cp:revision>
  <cp:lastPrinted>1601-01-01T00:00:00Z</cp:lastPrinted>
  <dcterms:created xsi:type="dcterms:W3CDTF">2019-02-05T17:14:00Z</dcterms:created>
  <dcterms:modified xsi:type="dcterms:W3CDTF">2019-02-05T17:17:00Z</dcterms:modified>
</cp:coreProperties>
</file>