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7E" w:rsidRDefault="001C387E" w:rsidP="001C387E">
      <w:pPr>
        <w:pStyle w:val="Zv-Titlereport"/>
      </w:pPr>
      <w:r>
        <w:t>архитектура топливных систем термоядерного источника нейтронов ДЕМО-ТИН</w:t>
      </w:r>
    </w:p>
    <w:p w:rsidR="001C387E" w:rsidRPr="00D168D9" w:rsidRDefault="001C387E" w:rsidP="001C387E">
      <w:pPr>
        <w:pStyle w:val="Zv-Author"/>
      </w:pPr>
      <w:r w:rsidRPr="00D168D9">
        <w:rPr>
          <w:u w:val="single"/>
        </w:rPr>
        <w:t>Ананьев С.С.</w:t>
      </w:r>
      <w:r w:rsidRPr="00D168D9">
        <w:t>, Спицын А.В., Кутеев Б.В.</w:t>
      </w:r>
    </w:p>
    <w:p w:rsidR="001C387E" w:rsidRPr="00D168D9" w:rsidRDefault="001C387E" w:rsidP="001C387E">
      <w:pPr>
        <w:pStyle w:val="Zv-Organization"/>
      </w:pPr>
      <w:r w:rsidRPr="00D168D9">
        <w:t xml:space="preserve">НИЦ «Курчатовский институт», Москва, Россия, </w:t>
      </w:r>
      <w:hyperlink r:id="rId7" w:history="1">
        <w:r w:rsidRPr="00D168D9">
          <w:rPr>
            <w:rStyle w:val="a7"/>
          </w:rPr>
          <w:t>Ananyev_SS@nrcki.ru</w:t>
        </w:r>
      </w:hyperlink>
    </w:p>
    <w:p w:rsidR="001C387E" w:rsidRDefault="001C387E" w:rsidP="001C387E">
      <w:pPr>
        <w:pStyle w:val="Zv-bodyreport"/>
      </w:pPr>
      <w:r>
        <w:t>Для</w:t>
      </w:r>
      <w:r w:rsidRPr="002D4108">
        <w:t xml:space="preserve"> </w:t>
      </w:r>
      <w:r>
        <w:t>расчета</w:t>
      </w:r>
      <w:r w:rsidRPr="002D4108">
        <w:t xml:space="preserve"> </w:t>
      </w:r>
      <w:r w:rsidRPr="00487B70">
        <w:t>потоков изотопов водорода в топливных системах термоядерного источника нейтронов на основе токамака (DEMO-FNS) с параметрами R/a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 w:rsidRPr="00487B70">
        <w:t>3,2</w:t>
      </w:r>
      <w:r>
        <w:t> </w:t>
      </w:r>
      <w:r w:rsidRPr="00487B70">
        <w:t>м</w:t>
      </w:r>
      <w:r>
        <w:rPr>
          <w:lang w:val="en-US"/>
        </w:rPr>
        <w:t> </w:t>
      </w:r>
      <w:r w:rsidRPr="00487B70">
        <w:t>/</w:t>
      </w:r>
      <w:r>
        <w:rPr>
          <w:lang w:val="en-US"/>
        </w:rPr>
        <w:t> </w:t>
      </w:r>
      <w:r w:rsidRPr="00487B70">
        <w:t>1</w:t>
      </w:r>
      <w:r>
        <w:t> </w:t>
      </w:r>
      <w:r w:rsidRPr="00487B70">
        <w:t xml:space="preserve">м, </w:t>
      </w:r>
      <w:r w:rsidRPr="000516AD">
        <w:br/>
      </w:r>
      <w:r w:rsidRPr="00487B70">
        <w:t>B = 5</w:t>
      </w:r>
      <w:r>
        <w:t> </w:t>
      </w:r>
      <w:r w:rsidRPr="00487B70">
        <w:t>Т, I</w:t>
      </w:r>
      <w:r w:rsidRPr="00487B70">
        <w:rPr>
          <w:vertAlign w:val="subscript"/>
        </w:rPr>
        <w:t>pl</w:t>
      </w:r>
      <w:r>
        <w:t xml:space="preserve"> = 4 </w:t>
      </w:r>
      <w:r w:rsidRPr="000516AD">
        <w:t>–</w:t>
      </w:r>
      <w:r>
        <w:t> </w:t>
      </w:r>
      <w:r w:rsidRPr="00487B70">
        <w:t>5 МА, P</w:t>
      </w:r>
      <w:r w:rsidRPr="00487B70">
        <w:rPr>
          <w:vertAlign w:val="subscript"/>
        </w:rPr>
        <w:t>NBI</w:t>
      </w:r>
      <w:r>
        <w:t xml:space="preserve"> = 30 </w:t>
      </w:r>
      <w:r w:rsidRPr="00487B70">
        <w:t>МВт и Р</w:t>
      </w:r>
      <w:r w:rsidRPr="00487B70">
        <w:rPr>
          <w:vertAlign w:val="subscript"/>
        </w:rPr>
        <w:t>ECR</w:t>
      </w:r>
      <w:r w:rsidRPr="00487B70">
        <w:t xml:space="preserve"> = 6</w:t>
      </w:r>
      <w:r>
        <w:rPr>
          <w:lang w:val="en-US"/>
        </w:rPr>
        <w:t> </w:t>
      </w:r>
      <w:r w:rsidRPr="00487B70">
        <w:t xml:space="preserve">МВт [1] используется модель топливного цикла «FC-FNS» [2]. «FC-FNS» описывает баланс частиw D и Т последовательно во всех системах, формирующих топливный цикл (ТЦ). Системы обеспечивают откачку газа из диверторов установки, предварительную очистку и отделение примесных газов от изотопов водорода, последующую очистку химически связанных изотопов водорода, хранение запасов изотопов и ввод топлива в плазму для поддержания условий горения, нагрева и создания тока в плазме (системой нейтральной инжекции </w:t>
      </w:r>
      <w:r w:rsidRPr="000516AD">
        <w:t xml:space="preserve">– </w:t>
      </w:r>
      <w:r w:rsidRPr="00487B70">
        <w:t>NB). Для обеспечения плазмы топливом помимо инжекции частиц в виде пучка (анализируются сценарии с</w:t>
      </w:r>
      <w:r>
        <w:t xml:space="preserve"> D</w:t>
      </w:r>
      <w:r w:rsidRPr="00243398">
        <w:rPr>
          <w:vertAlign w:val="superscript"/>
        </w:rPr>
        <w:t>0</w:t>
      </w:r>
      <w:r>
        <w:rPr>
          <w:lang w:val="en-US"/>
        </w:rPr>
        <w:t> </w:t>
      </w:r>
      <w:r>
        <w:t>+</w:t>
      </w:r>
      <w:r>
        <w:rPr>
          <w:lang w:val="en-US"/>
        </w:rPr>
        <w:t> </w:t>
      </w:r>
      <w:r>
        <w:t>T</w:t>
      </w:r>
      <w:r w:rsidRPr="00243398">
        <w:rPr>
          <w:vertAlign w:val="superscript"/>
        </w:rPr>
        <w:t>0</w:t>
      </w:r>
      <w:r w:rsidRPr="005E4AB2">
        <w:t xml:space="preserve"> </w:t>
      </w:r>
      <w:r>
        <w:t>и D</w:t>
      </w:r>
      <w:r w:rsidRPr="00243398">
        <w:rPr>
          <w:vertAlign w:val="superscript"/>
        </w:rPr>
        <w:t>0</w:t>
      </w:r>
      <w:r w:rsidRPr="005E4AB2">
        <w:t xml:space="preserve"> </w:t>
      </w:r>
      <w:r>
        <w:t xml:space="preserve">пучком) используется инжекция </w:t>
      </w:r>
      <w:r w:rsidRPr="00423A13">
        <w:t>пеллет (PIS) со стороны сильного и слабого полей</w:t>
      </w:r>
      <w:r>
        <w:t xml:space="preserve"> (HFS</w:t>
      </w:r>
      <w:r w:rsidRPr="009B13F0">
        <w:t>/</w:t>
      </w:r>
      <w:r>
        <w:t>LFS</w:t>
      </w:r>
      <w:r w:rsidRPr="009B13F0">
        <w:t>)</w:t>
      </w:r>
      <w:r w:rsidRPr="00423A13">
        <w:t xml:space="preserve">. </w:t>
      </w:r>
      <w:r>
        <w:t>Система газовых клапанов</w:t>
      </w:r>
      <w:r w:rsidRPr="00AB48B4">
        <w:t xml:space="preserve"> (</w:t>
      </w:r>
      <w:r>
        <w:t>GIS</w:t>
      </w:r>
      <w:r w:rsidRPr="00AB48B4">
        <w:t>)</w:t>
      </w:r>
      <w:r>
        <w:t>, помимо инжекции приме</w:t>
      </w:r>
      <w:r w:rsidRPr="009B13F0">
        <w:t>сей, обеспечивает ввод газовой смеси, циркулирующей в системах ТЦ (и превышающей потребности плазмы в D и T за счет низкой эффективности ввода частиц в основную плазму)</w:t>
      </w:r>
      <w:r>
        <w:t>.</w:t>
      </w:r>
      <w:r w:rsidRPr="00C376FB">
        <w:t xml:space="preserve"> </w:t>
      </w:r>
      <w:r>
        <w:t>Для обеспечения механической прочности топливных пеллет нами предлагается их раздельное изготовление из D</w:t>
      </w:r>
      <w:r w:rsidRPr="00D44EB3">
        <w:rPr>
          <w:vertAlign w:val="subscript"/>
        </w:rPr>
        <w:t>2</w:t>
      </w:r>
      <w:r w:rsidRPr="00D44EB3">
        <w:t xml:space="preserve">, </w:t>
      </w:r>
      <w:r>
        <w:t>T</w:t>
      </w:r>
      <w:r w:rsidRPr="00D44EB3">
        <w:rPr>
          <w:vertAlign w:val="subscript"/>
        </w:rPr>
        <w:t>2</w:t>
      </w:r>
      <w:r w:rsidRPr="00D44EB3">
        <w:t xml:space="preserve"> </w:t>
      </w:r>
      <w:r>
        <w:t>и DT с последующим введением разными инжекторами.</w:t>
      </w:r>
      <w:r w:rsidRPr="00D44EB3">
        <w:t xml:space="preserve"> </w:t>
      </w:r>
      <w:r>
        <w:t xml:space="preserve">Разделение топливного потока на требуемые фракции требует системы разделения </w:t>
      </w:r>
      <w:r w:rsidRPr="00D44EB3">
        <w:t>(</w:t>
      </w:r>
      <w:r>
        <w:t>ISS</w:t>
      </w:r>
      <w:r w:rsidRPr="00D44EB3">
        <w:t>)</w:t>
      </w:r>
      <w:r>
        <w:t xml:space="preserve"> в составе ТЦ. Контроль доли Не в плазме происходит в процессе очистки газовой смеси на мембранном фильтре при котором весь Не из топливной смеси выделяется. В результате такого подхода </w:t>
      </w:r>
      <w:r w:rsidRPr="00016BC3">
        <w:t xml:space="preserve">относительная величина усредненной </w:t>
      </w:r>
      <w:r w:rsidRPr="009B13F0">
        <w:t>плотности гелия в основной плазме &lt;n</w:t>
      </w:r>
      <w:r w:rsidRPr="009B13F0">
        <w:rPr>
          <w:vertAlign w:val="subscript"/>
        </w:rPr>
        <w:t>He</w:t>
      </w:r>
      <w:r w:rsidRPr="009B13F0">
        <w:t>&gt;/&lt;n</w:t>
      </w:r>
      <w:r w:rsidRPr="009B13F0">
        <w:rPr>
          <w:vertAlign w:val="subscript"/>
        </w:rPr>
        <w:t>e</w:t>
      </w:r>
      <w:r w:rsidRPr="009B13F0">
        <w:t>&gt; составляет ~0,4%. Контроль доли Н</w:t>
      </w:r>
      <w:r w:rsidRPr="009B13F0">
        <w:rPr>
          <w:vertAlign w:val="subscript"/>
        </w:rPr>
        <w:t>2</w:t>
      </w:r>
      <w:r w:rsidRPr="009B13F0">
        <w:t xml:space="preserve"> происходит за счет удаления фракций H</w:t>
      </w:r>
      <w:r w:rsidRPr="009B13F0">
        <w:rPr>
          <w:vertAlign w:val="subscript"/>
        </w:rPr>
        <w:t>2</w:t>
      </w:r>
      <w:r w:rsidRPr="009B13F0">
        <w:t xml:space="preserve"> и HD из ISS. Даже с учетом того, что фракция НТ будет оставаться в топливной смеси, доля протия в плазме будет </w:t>
      </w:r>
      <w:r>
        <w:t>составлять ~</w:t>
      </w:r>
      <w:r w:rsidRPr="009B13F0">
        <w:t>0,5%.</w:t>
      </w:r>
    </w:p>
    <w:p w:rsidR="001C387E" w:rsidRDefault="001C387E" w:rsidP="001C387E">
      <w:pPr>
        <w:pStyle w:val="Zv-bodyreport"/>
      </w:pPr>
      <w:r>
        <w:t xml:space="preserve">Основной задачей, решаемой при проектировании ТЦ, является сокращение накопления изотопов водорода в системах ТЦ. Наиболее критичными являются системы ТЦ с длительным циклом обработки газовой смеси (поскольку может накапливать наибольшее количество изотопов </w:t>
      </w:r>
      <w:r w:rsidRPr="000516AD">
        <w:t>–</w:t>
      </w:r>
      <w:r>
        <w:t xml:space="preserve"> в том числе Т). </w:t>
      </w:r>
      <w:r w:rsidRPr="00626BA8">
        <w:t>«</w:t>
      </w:r>
      <w:r w:rsidRPr="00BB4F43">
        <w:t>FC-FNS»</w:t>
      </w:r>
      <w:r>
        <w:t xml:space="preserve"> позволяет рассчитывать накопление изотопов водорода в системах ТЦ а также темпы наработки трития (с учетом удовлетворения потребностей установки) для различных вариантов используемого пучка допнагрева (D</w:t>
      </w:r>
      <w:r w:rsidRPr="00243398">
        <w:rPr>
          <w:vertAlign w:val="superscript"/>
        </w:rPr>
        <w:t>0</w:t>
      </w:r>
      <w:r>
        <w:rPr>
          <w:lang w:val="en-US"/>
        </w:rPr>
        <w:t> </w:t>
      </w:r>
      <w:r>
        <w:t>+</w:t>
      </w:r>
      <w:r>
        <w:rPr>
          <w:lang w:val="en-US"/>
        </w:rPr>
        <w:t> </w:t>
      </w:r>
      <w:r>
        <w:t>T</w:t>
      </w:r>
      <w:r w:rsidRPr="00243398">
        <w:rPr>
          <w:vertAlign w:val="superscript"/>
        </w:rPr>
        <w:t>0</w:t>
      </w:r>
      <w:r w:rsidRPr="005E4AB2">
        <w:t xml:space="preserve"> </w:t>
      </w:r>
      <w:r>
        <w:t>или D</w:t>
      </w:r>
      <w:r w:rsidRPr="0065004E">
        <w:rPr>
          <w:vertAlign w:val="superscript"/>
        </w:rPr>
        <w:t>0</w:t>
      </w:r>
      <w:r>
        <w:t xml:space="preserve">) и для сценариев с различной фракцией трития </w:t>
      </w:r>
      <w:r w:rsidRPr="00FF56CD">
        <w:rPr>
          <w:i/>
        </w:rPr>
        <w:t>f</w:t>
      </w:r>
      <w:r w:rsidRPr="00FF56CD">
        <w:rPr>
          <w:i/>
          <w:vertAlign w:val="subscript"/>
        </w:rPr>
        <w:t>T</w:t>
      </w:r>
      <w:r w:rsidRPr="0065004E">
        <w:t xml:space="preserve"> в плазме</w:t>
      </w:r>
      <w:r>
        <w:t>.</w:t>
      </w:r>
    </w:p>
    <w:p w:rsidR="001C387E" w:rsidRDefault="001C387E" w:rsidP="001C387E">
      <w:pPr>
        <w:pStyle w:val="Zv-bodyreport"/>
      </w:pPr>
      <w:r>
        <w:t xml:space="preserve">В докладе описывается актуальная архитектура систем ТЦ, обеспечивающих все рассматриваемые сценарии, и приводится анализ режимов работы ключевых систем. Проанализированы зависимости накопления трития в ТЦ и темпов его бридинга при различных значениях </w:t>
      </w:r>
      <w:r w:rsidRPr="00FF56CD">
        <w:rPr>
          <w:i/>
        </w:rPr>
        <w:t>f</w:t>
      </w:r>
      <w:r w:rsidRPr="00FF56CD">
        <w:rPr>
          <w:i/>
          <w:vertAlign w:val="subscript"/>
        </w:rPr>
        <w:t>T</w:t>
      </w:r>
      <w:r>
        <w:t>. Приводятся результаты моделирования различных режимов работы инжекционных систем и анализ возможности обеспечения эффективной откачки газа из дивертора для этих режимов.</w:t>
      </w:r>
    </w:p>
    <w:p w:rsidR="001C387E" w:rsidRPr="00DE05D8" w:rsidRDefault="001C387E" w:rsidP="001C387E">
      <w:pPr>
        <w:pStyle w:val="Zv-bodyreport"/>
      </w:pPr>
      <w:r w:rsidRPr="00196E64">
        <w:t>Эта работа была частично поддержана Российским научным фондом (№ 18-72-10162).</w:t>
      </w:r>
    </w:p>
    <w:p w:rsidR="001C387E" w:rsidRPr="00487B70" w:rsidRDefault="001C387E" w:rsidP="001C387E">
      <w:pPr>
        <w:pStyle w:val="Zv-TitleReferences-ru"/>
        <w:rPr>
          <w:lang w:val="en-US"/>
        </w:rPr>
      </w:pPr>
      <w:r w:rsidRPr="00D168D9">
        <w:t>Литература</w:t>
      </w:r>
    </w:p>
    <w:p w:rsidR="001C387E" w:rsidRPr="00196E64" w:rsidRDefault="001C387E" w:rsidP="001C387E">
      <w:pPr>
        <w:pStyle w:val="reference"/>
        <w:numPr>
          <w:ilvl w:val="0"/>
          <w:numId w:val="0"/>
        </w:numPr>
        <w:tabs>
          <w:tab w:val="left" w:pos="567"/>
        </w:tabs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[1] </w:t>
      </w:r>
      <w:r>
        <w:rPr>
          <w:rFonts w:ascii="Times New Roman" w:hAnsi="Times New Roman"/>
          <w:sz w:val="24"/>
        </w:rPr>
        <w:tab/>
      </w:r>
      <w:r w:rsidRPr="00196E64">
        <w:rPr>
          <w:rFonts w:ascii="Times New Roman" w:hAnsi="Times New Roman"/>
          <w:sz w:val="24"/>
        </w:rPr>
        <w:t>B.V. Kuteev, Yu.S. Shpanskiy and DEMO-FNS Team, Nucl. Fusion 57 (2017) 076039 (8pp)</w:t>
      </w:r>
    </w:p>
    <w:p w:rsidR="001C387E" w:rsidRPr="00196E64" w:rsidRDefault="001C387E" w:rsidP="001C387E">
      <w:pPr>
        <w:pStyle w:val="reference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[2] </w:t>
      </w:r>
      <w:r>
        <w:rPr>
          <w:rFonts w:ascii="Times New Roman" w:hAnsi="Times New Roman"/>
          <w:sz w:val="24"/>
        </w:rPr>
        <w:tab/>
      </w:r>
      <w:r w:rsidRPr="00196E64">
        <w:rPr>
          <w:rFonts w:ascii="Times New Roman" w:hAnsi="Times New Roman"/>
          <w:sz w:val="24"/>
        </w:rPr>
        <w:t>S.S. Ananyev, A.V. Spitsyn, B.V. Kuteev, Fusion Engineering and Design 109–111 (2016) 57–60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549" w:rsidRDefault="009B2549">
      <w:r>
        <w:separator/>
      </w:r>
    </w:p>
  </w:endnote>
  <w:endnote w:type="continuationSeparator" w:id="0">
    <w:p w:rsidR="009B2549" w:rsidRDefault="009B2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209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209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387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549" w:rsidRDefault="009B2549">
      <w:r>
        <w:separator/>
      </w:r>
    </w:p>
  </w:footnote>
  <w:footnote w:type="continuationSeparator" w:id="0">
    <w:p w:rsidR="009B2549" w:rsidRDefault="009B2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A7209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0"/>
    <w:lvl w:ilvl="0">
      <w:start w:val="1"/>
      <w:numFmt w:val="decimal"/>
      <w:pStyle w:val="reference"/>
      <w:lvlText w:val="[%1]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2549"/>
    <w:rsid w:val="00037DCC"/>
    <w:rsid w:val="00043701"/>
    <w:rsid w:val="000C7078"/>
    <w:rsid w:val="000D76E9"/>
    <w:rsid w:val="000E495B"/>
    <w:rsid w:val="00140645"/>
    <w:rsid w:val="00171964"/>
    <w:rsid w:val="001C0CCB"/>
    <w:rsid w:val="001C387E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B2549"/>
    <w:rsid w:val="00A66876"/>
    <w:rsid w:val="00A71613"/>
    <w:rsid w:val="00A72096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C387E"/>
    <w:rPr>
      <w:color w:val="0000FF" w:themeColor="hyperlink"/>
      <w:u w:val="single"/>
    </w:rPr>
  </w:style>
  <w:style w:type="paragraph" w:customStyle="1" w:styleId="reference">
    <w:name w:val="reference"/>
    <w:basedOn w:val="a"/>
    <w:rsid w:val="001C387E"/>
    <w:pPr>
      <w:widowControl w:val="0"/>
      <w:numPr>
        <w:numId w:val="8"/>
      </w:numPr>
      <w:snapToGrid w:val="0"/>
      <w:spacing w:line="240" w:lineRule="atLeast"/>
      <w:jc w:val="both"/>
    </w:pPr>
    <w:rPr>
      <w:rFonts w:ascii="Times" w:eastAsia="MS Mincho" w:hAnsi="Times"/>
      <w:kern w:val="2"/>
      <w:sz w:val="18"/>
      <w:szCs w:val="2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nyev_SS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АРХИТЕКТУРА ТОПЛИВНЫХ СИСТЕМ ТЕРМОЯДЕРНОГО ИСТОЧНИКА НЕЙТРОНОВ ДЕМО-ТИН</dc:title>
  <dc:creator>sato</dc:creator>
  <cp:lastModifiedBy>Сатунин</cp:lastModifiedBy>
  <cp:revision>1</cp:revision>
  <cp:lastPrinted>1601-01-01T00:00:00Z</cp:lastPrinted>
  <dcterms:created xsi:type="dcterms:W3CDTF">2019-01-21T20:24:00Z</dcterms:created>
  <dcterms:modified xsi:type="dcterms:W3CDTF">2019-01-21T20:25:00Z</dcterms:modified>
</cp:coreProperties>
</file>