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9F" w:rsidRDefault="00B7209F" w:rsidP="00B7209F">
      <w:pPr>
        <w:pStyle w:val="Zv-Titlereport"/>
        <w:ind w:left="851" w:right="849"/>
        <w:rPr>
          <w:lang w:val="en-US"/>
        </w:rPr>
      </w:pPr>
      <w:r>
        <w:rPr>
          <w:lang w:val="en-US"/>
        </w:rPr>
        <w:t>transport model with different canonical profiles for ions and electrons</w:t>
      </w:r>
    </w:p>
    <w:p w:rsidR="00B7209F" w:rsidRPr="00DA48DD" w:rsidRDefault="00B7209F" w:rsidP="00B7209F">
      <w:pPr>
        <w:pStyle w:val="Zv-Author"/>
        <w:rPr>
          <w:lang w:val="en-US"/>
        </w:rPr>
      </w:pPr>
      <w:r w:rsidRPr="00DA48DD">
        <w:rPr>
          <w:bCs w:val="0"/>
          <w:iCs w:val="0"/>
          <w:u w:val="single"/>
          <w:lang w:val="en-US"/>
        </w:rPr>
        <w:t>Dnestrovskij</w:t>
      </w:r>
      <w:r w:rsidRPr="0012314F">
        <w:rPr>
          <w:bCs w:val="0"/>
          <w:iCs w:val="0"/>
          <w:u w:val="single"/>
          <w:lang w:val="en-US"/>
        </w:rPr>
        <w:t xml:space="preserve"> </w:t>
      </w:r>
      <w:r w:rsidRPr="00DA48DD">
        <w:rPr>
          <w:bCs w:val="0"/>
          <w:iCs w:val="0"/>
          <w:u w:val="single"/>
          <w:lang w:val="en-US"/>
        </w:rPr>
        <w:t>Yu.N.</w:t>
      </w:r>
      <w:r w:rsidRPr="00DA48DD">
        <w:rPr>
          <w:lang w:val="en-US"/>
        </w:rPr>
        <w:t>, Danilov</w:t>
      </w:r>
      <w:r w:rsidRPr="0012314F">
        <w:rPr>
          <w:lang w:val="en-US"/>
        </w:rPr>
        <w:t xml:space="preserve"> </w:t>
      </w:r>
      <w:r w:rsidRPr="00DA48DD">
        <w:rPr>
          <w:lang w:val="en-US"/>
        </w:rPr>
        <w:t>A.V., Dnestrovskij</w:t>
      </w:r>
      <w:r w:rsidRPr="0012314F">
        <w:rPr>
          <w:lang w:val="en-US"/>
        </w:rPr>
        <w:t xml:space="preserve"> </w:t>
      </w:r>
      <w:r w:rsidRPr="00DA48DD">
        <w:rPr>
          <w:lang w:val="en-US"/>
        </w:rPr>
        <w:t>A.Yu.</w:t>
      </w:r>
      <w:r>
        <w:rPr>
          <w:lang w:val="en-US"/>
        </w:rPr>
        <w:t>,</w:t>
      </w:r>
      <w:r w:rsidRPr="00DA48DD">
        <w:rPr>
          <w:lang w:val="en-US"/>
        </w:rPr>
        <w:t xml:space="preserve"> </w:t>
      </w:r>
      <w:r>
        <w:rPr>
          <w:lang w:val="en-US"/>
        </w:rPr>
        <w:t xml:space="preserve">Klyuchnikov L.A., </w:t>
      </w:r>
      <w:r w:rsidRPr="00DA48DD">
        <w:rPr>
          <w:lang w:val="en-US"/>
        </w:rPr>
        <w:t>Lysenko</w:t>
      </w:r>
      <w:r w:rsidRPr="0012314F">
        <w:rPr>
          <w:lang w:val="en-US"/>
        </w:rPr>
        <w:t xml:space="preserve"> </w:t>
      </w:r>
      <w:r w:rsidRPr="00DA48DD">
        <w:rPr>
          <w:lang w:val="en-US"/>
        </w:rPr>
        <w:t xml:space="preserve">S.E., </w:t>
      </w:r>
      <w:r>
        <w:rPr>
          <w:lang w:val="en-US"/>
        </w:rPr>
        <w:t xml:space="preserve">Melnikov A.V., Nurgaliev M.R., Soloviev N.A., </w:t>
      </w:r>
      <w:r w:rsidRPr="00DA48DD">
        <w:rPr>
          <w:lang w:val="en-US"/>
        </w:rPr>
        <w:t>Subbotin</w:t>
      </w:r>
      <w:r w:rsidRPr="0012314F">
        <w:rPr>
          <w:lang w:val="en-US"/>
        </w:rPr>
        <w:t xml:space="preserve"> </w:t>
      </w:r>
      <w:r w:rsidRPr="00DA48DD">
        <w:rPr>
          <w:lang w:val="en-US"/>
        </w:rPr>
        <w:t xml:space="preserve">G.F., </w:t>
      </w:r>
      <w:r>
        <w:rPr>
          <w:lang w:val="en-US"/>
        </w:rPr>
        <w:t xml:space="preserve">Sushkov A.V., </w:t>
      </w:r>
      <w:r w:rsidRPr="00DA48DD">
        <w:rPr>
          <w:lang w:val="en-US"/>
        </w:rPr>
        <w:t>Cherkasov</w:t>
      </w:r>
      <w:r>
        <w:rPr>
          <w:lang w:val="en-US"/>
        </w:rPr>
        <w:t> </w:t>
      </w:r>
      <w:r w:rsidRPr="00DA48DD">
        <w:rPr>
          <w:lang w:val="en-US"/>
        </w:rPr>
        <w:t>S.V.</w:t>
      </w:r>
    </w:p>
    <w:p w:rsidR="00B7209F" w:rsidRDefault="00B7209F" w:rsidP="00B7209F">
      <w:pPr>
        <w:pStyle w:val="Zv-Organization"/>
        <w:rPr>
          <w:lang w:val="en-US"/>
        </w:rPr>
      </w:pPr>
      <w:r>
        <w:rPr>
          <w:lang w:val="en-US"/>
        </w:rPr>
        <w:t>NRC</w:t>
      </w:r>
      <w:r w:rsidRPr="003A4B35">
        <w:rPr>
          <w:lang w:val="en-US"/>
        </w:rPr>
        <w:t xml:space="preserve"> “</w:t>
      </w:r>
      <w:r>
        <w:rPr>
          <w:lang w:val="en-US"/>
        </w:rPr>
        <w:t>Kurchatov</w:t>
      </w:r>
      <w:r w:rsidRPr="003A4B35">
        <w:rPr>
          <w:lang w:val="en-US"/>
        </w:rPr>
        <w:t xml:space="preserve"> </w:t>
      </w:r>
      <w:r>
        <w:rPr>
          <w:lang w:val="en-US"/>
        </w:rPr>
        <w:t>Institute</w:t>
      </w:r>
      <w:r w:rsidRPr="003A4B35">
        <w:rPr>
          <w:lang w:val="en-US"/>
        </w:rPr>
        <w:t xml:space="preserve">”, </w:t>
      </w:r>
      <w:r w:rsidRPr="0021707D">
        <w:rPr>
          <w:lang w:val="en-US"/>
        </w:rPr>
        <w:t>Moscow</w:t>
      </w:r>
      <w:r w:rsidRPr="003A4B35">
        <w:rPr>
          <w:lang w:val="en-US"/>
        </w:rPr>
        <w:t xml:space="preserve">, </w:t>
      </w:r>
      <w:r>
        <w:rPr>
          <w:lang w:val="en-US"/>
        </w:rPr>
        <w:t>Russia</w:t>
      </w:r>
      <w:r w:rsidRPr="003A4B35">
        <w:rPr>
          <w:lang w:val="en-US"/>
        </w:rPr>
        <w:t xml:space="preserve">, </w:t>
      </w:r>
      <w:hyperlink r:id="rId7" w:history="1">
        <w:r w:rsidRPr="001C2DB6">
          <w:rPr>
            <w:rStyle w:val="a7"/>
            <w:lang w:val="en-US"/>
          </w:rPr>
          <w:t>Dnestrovskiy_YN@nrcki.ru</w:t>
        </w:r>
      </w:hyperlink>
    </w:p>
    <w:p w:rsidR="00B7209F" w:rsidRPr="0026740F" w:rsidRDefault="00B7209F" w:rsidP="00B7209F">
      <w:pPr>
        <w:pStyle w:val="Zv-bodyreport"/>
        <w:rPr>
          <w:lang w:val="en-US"/>
        </w:rPr>
      </w:pPr>
      <w:r w:rsidRPr="00874DF8">
        <w:rPr>
          <w:lang w:val="en-US"/>
        </w:rPr>
        <w:t xml:space="preserve">The canonical profiles transport model was described in [1]. It was supposed there that the canonical profiles for electron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e</w:t>
      </w:r>
      <w:r w:rsidRPr="00874DF8">
        <w:rPr>
          <w:lang w:val="en-US"/>
        </w:rPr>
        <w:t xml:space="preserve"> and ion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i</w:t>
      </w:r>
      <w:r w:rsidRPr="00874DF8">
        <w:rPr>
          <w:lang w:val="en-US"/>
        </w:rPr>
        <w:t xml:space="preserve"> temperatures are the same. However, in recent years, it has been possible to conduct systematic measurements of the ion temperature profiles and to compare the temperature profiles in different discharges [2]. Analysis of experimental data for ohmic and ECR-heated discharges have shown that normalized temperature profiles for ions, </w:t>
      </w:r>
      <w:r w:rsidRPr="00874DF8">
        <w:rPr>
          <w:position w:val="-12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 o:ole="">
            <v:imagedata r:id="rId8" o:title=""/>
          </v:shape>
          <o:OLEObject Type="Embed" ProgID="Equation.DSMT4" ShapeID="_x0000_i1025" DrawAspect="Content" ObjectID="_1609530068" r:id="rId9"/>
        </w:object>
      </w:r>
      <w:r w:rsidRPr="00874DF8">
        <w:rPr>
          <w:lang w:val="en-US"/>
        </w:rPr>
        <w:t xml:space="preserve">, are much flatter than the ones for electrons, </w:t>
      </w:r>
      <w:r w:rsidRPr="00874DF8">
        <w:rPr>
          <w:position w:val="-12"/>
        </w:rPr>
        <w:object w:dxaOrig="320" w:dyaOrig="380">
          <v:shape id="_x0000_i1026" type="#_x0000_t75" style="width:16.5pt;height:18.75pt" o:ole="">
            <v:imagedata r:id="rId10" o:title=""/>
          </v:shape>
          <o:OLEObject Type="Embed" ProgID="Equation.DSMT4" ShapeID="_x0000_i1026" DrawAspect="Content" ObjectID="_1609530069" r:id="rId11"/>
        </w:object>
      </w:r>
      <w:r w:rsidRPr="00874DF8">
        <w:rPr>
          <w:lang w:val="en-US"/>
        </w:rPr>
        <w:t xml:space="preserve">, Fig. 1. For a quantitative estimation of the profile shape, we introduce the peaking factor of temperature profile: 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i/>
          <w:lang w:val="en-US"/>
        </w:rPr>
        <w:t>T</w:t>
      </w:r>
      <w:r w:rsidRPr="00874DF8">
        <w:rPr>
          <w:lang w:val="en-US"/>
        </w:rPr>
        <w:t>(0)/</w:t>
      </w:r>
      <w:r w:rsidRPr="00874DF8">
        <w:rPr>
          <w:i/>
          <w:lang w:val="en-US"/>
        </w:rPr>
        <w:t>T</w:t>
      </w:r>
      <w:r w:rsidRPr="00874DF8">
        <w:rPr>
          <w:lang w:val="en-US"/>
        </w:rPr>
        <w:t>(</w:t>
      </w:r>
      <w:r w:rsidRPr="00874DF8">
        <w:rPr>
          <w:i/>
          <w:lang w:val="en-US"/>
        </w:rPr>
        <w:t>a</w:t>
      </w:r>
      <w:r w:rsidRPr="00874DF8">
        <w:rPr>
          <w:lang w:val="en-US"/>
        </w:rPr>
        <w:t xml:space="preserve">/2), where </w:t>
      </w:r>
      <w:r w:rsidRPr="00874DF8">
        <w:rPr>
          <w:i/>
          <w:lang w:val="en-US"/>
        </w:rPr>
        <w:t>T</w:t>
      </w:r>
      <w:r w:rsidRPr="00874DF8">
        <w:rPr>
          <w:lang w:val="en-US"/>
        </w:rPr>
        <w:t xml:space="preserve">(0) and </w:t>
      </w:r>
      <w:r w:rsidRPr="00874DF8">
        <w:rPr>
          <w:i/>
          <w:lang w:val="en-US"/>
        </w:rPr>
        <w:t>T</w:t>
      </w:r>
      <w:r w:rsidRPr="00874DF8">
        <w:rPr>
          <w:lang w:val="en-US"/>
        </w:rPr>
        <w:t>(</w:t>
      </w:r>
      <w:r w:rsidRPr="00874DF8">
        <w:rPr>
          <w:i/>
          <w:lang w:val="en-US"/>
        </w:rPr>
        <w:t>a</w:t>
      </w:r>
      <w:r w:rsidRPr="00874DF8">
        <w:rPr>
          <w:lang w:val="en-US"/>
        </w:rPr>
        <w:t xml:space="preserve">/2) are temperatures in the centre and at mid-radius of plasma column. As an example, we consider shot No. 73197 (current </w:t>
      </w:r>
      <w:r w:rsidRPr="00874DF8">
        <w:rPr>
          <w:i/>
          <w:lang w:val="en-US"/>
        </w:rPr>
        <w:t>I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0.23 MA, magnetic field </w:t>
      </w:r>
      <w:r w:rsidRPr="00874DF8">
        <w:rPr>
          <w:i/>
          <w:lang w:val="en-US"/>
        </w:rPr>
        <w:t>B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2.2 T, density </w:t>
      </w:r>
      <w:r w:rsidRPr="00874DF8">
        <w:rPr>
          <w:rFonts w:ascii="Symbol" w:hAnsi="Symbol"/>
          <w:lang w:val="en-US"/>
        </w:rPr>
        <w:t></w:t>
      </w:r>
      <w:r w:rsidRPr="00874DF8">
        <w:rPr>
          <w:i/>
          <w:lang w:val="en-US"/>
        </w:rPr>
        <w:t>n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1.3</w:t>
      </w:r>
      <w:r w:rsidRPr="00232887">
        <w:rPr>
          <w:lang w:val="en-US"/>
        </w:rPr>
        <w:t> </w:t>
      </w:r>
      <w:r w:rsidRPr="00874DF8">
        <w:rPr>
          <w:rFonts w:ascii="Symbol" w:hAnsi="Symbol"/>
          <w:lang w:val="en-US"/>
        </w:rPr>
        <w:t></w:t>
      </w:r>
      <w:r>
        <w:rPr>
          <w:rFonts w:ascii="Symbol" w:hAnsi="Symbol"/>
        </w:rPr>
        <w:t></w:t>
      </w:r>
      <w:r w:rsidRPr="00232887">
        <w:rPr>
          <w:rFonts w:ascii="Symbol" w:hAnsi="Symbol"/>
          <w:lang w:val="en-US"/>
        </w:rPr>
        <w:br/>
      </w:r>
      <w:r w:rsidRPr="00874DF8">
        <w:rPr>
          <w:lang w:val="en-US"/>
        </w:rPr>
        <w:t>10</w:t>
      </w:r>
      <w:r w:rsidRPr="00874DF8">
        <w:rPr>
          <w:vertAlign w:val="superscript"/>
          <w:lang w:val="en-US"/>
        </w:rPr>
        <w:t>19</w:t>
      </w:r>
      <w:r w:rsidRPr="00874DF8">
        <w:rPr>
          <w:lang w:val="en-US"/>
        </w:rPr>
        <w:t xml:space="preserve"> m</w:t>
      </w:r>
      <w:r w:rsidRPr="00232887">
        <w:rPr>
          <w:vertAlign w:val="superscript"/>
          <w:lang w:val="en-US"/>
        </w:rPr>
        <w:t>–</w:t>
      </w:r>
      <w:r w:rsidRPr="00874DF8">
        <w:rPr>
          <w:vertAlign w:val="superscript"/>
          <w:lang w:val="en-US"/>
        </w:rPr>
        <w:t>3</w:t>
      </w:r>
      <w:r w:rsidRPr="00874DF8">
        <w:rPr>
          <w:lang w:val="en-US"/>
        </w:rPr>
        <w:t xml:space="preserve">). The ECR heating is performed by three gyrotrons, two of which (A and C with a total power of 1.7 MW) deposit the power at </w:t>
      </w:r>
      <w:r w:rsidRPr="00874DF8">
        <w:rPr>
          <w:rFonts w:ascii="Symbol" w:hAnsi="Symbol"/>
          <w:lang w:val="en-US"/>
        </w:rPr>
        <w:t>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= </w:t>
      </w:r>
      <w:r w:rsidRPr="00874DF8">
        <w:rPr>
          <w:i/>
          <w:lang w:val="en-US"/>
        </w:rPr>
        <w:t>a</w:t>
      </w:r>
      <w:r w:rsidRPr="00874DF8">
        <w:rPr>
          <w:lang w:val="en-US"/>
        </w:rPr>
        <w:t xml:space="preserve">/2, while the gyrotron B with a power of 0.5 MW </w:t>
      </w:r>
      <w:r w:rsidRPr="00874DF8">
        <w:rPr>
          <w:rFonts w:ascii="Symbol" w:hAnsi="Symbol"/>
          <w:lang w:val="en-US"/>
        </w:rPr>
        <w:t></w:t>
      </w:r>
      <w:r w:rsidRPr="00874DF8">
        <w:rPr>
          <w:lang w:val="en-US"/>
        </w:rPr>
        <w:t xml:space="preserve"> at </w:t>
      </w:r>
      <w:r w:rsidRPr="00874DF8">
        <w:rPr>
          <w:rFonts w:ascii="Symbol" w:hAnsi="Symbol"/>
          <w:lang w:val="en-US"/>
        </w:rPr>
        <w:t>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= </w:t>
      </w:r>
      <w:r w:rsidRPr="00874DF8">
        <w:rPr>
          <w:i/>
          <w:lang w:val="en-US"/>
        </w:rPr>
        <w:t>a</w:t>
      </w:r>
      <w:r w:rsidRPr="00874DF8">
        <w:rPr>
          <w:lang w:val="en-US"/>
        </w:rPr>
        <w:t xml:space="preserve">/6. In the ohmic phase (OH), 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Te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1.67, 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Ti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1.33, </w:t>
      </w:r>
      <w:r w:rsidRPr="00874DF8">
        <w:rPr>
          <w:lang w:val="en-US"/>
        </w:rPr>
        <w:sym w:font="Symbol" w:char="F06C"/>
      </w:r>
      <w:r w:rsidRPr="00874DF8">
        <w:rPr>
          <w:lang w:val="en-US"/>
        </w:rPr>
        <w:t> = 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Te</w:t>
      </w:r>
      <w:r w:rsidRPr="00874DF8">
        <w:rPr>
          <w:lang w:val="en-US"/>
        </w:rPr>
        <w:t>/</w:t>
      </w:r>
      <w:r w:rsidRPr="00874DF8">
        <w:rPr>
          <w:i/>
          <w:lang w:val="en-US"/>
        </w:rPr>
        <w:t>p</w:t>
      </w:r>
      <w:r w:rsidRPr="00874DF8">
        <w:rPr>
          <w:i/>
          <w:vertAlign w:val="subscript"/>
          <w:lang w:val="en-US"/>
        </w:rPr>
        <w:t>Ti</w:t>
      </w:r>
      <w:r w:rsidRPr="00874DF8">
        <w:rPr>
          <w:lang w:val="en-US"/>
        </w:rPr>
        <w:t xml:space="preserve"> =</w:t>
      </w:r>
      <w:r w:rsidRPr="00FE2DF2">
        <w:rPr>
          <w:lang w:val="en-US"/>
        </w:rPr>
        <w:t> </w:t>
      </w:r>
      <w:r w:rsidRPr="00874DF8">
        <w:rPr>
          <w:lang w:val="en-US"/>
        </w:rPr>
        <w:t xml:space="preserve">1.26. Similar values of </w:t>
      </w:r>
      <w:r w:rsidRPr="00874DF8">
        <w:rPr>
          <w:rFonts w:ascii="Symbol" w:hAnsi="Symbol"/>
          <w:lang w:val="en-US"/>
        </w:rPr>
        <w:t></w:t>
      </w:r>
      <w:r w:rsidRPr="00874DF8">
        <w:rPr>
          <w:lang w:val="en-US"/>
        </w:rPr>
        <w:t xml:space="preserve"> are typical for the ECR heating phase. So, we may unambiguously conclude that in our transport model, the canonical profiles for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i</w:t>
      </w:r>
      <w:r w:rsidRPr="00874DF8">
        <w:rPr>
          <w:lang w:val="en-US"/>
        </w:rPr>
        <w:t xml:space="preserve"> should be flatter than ones for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e</w:t>
      </w:r>
      <w:r w:rsidRPr="00874DF8">
        <w:rPr>
          <w:lang w:val="en-US"/>
        </w:rPr>
        <w:t xml:space="preserve">. In the model [1], the boundary condition at </w:t>
      </w:r>
      <w:r w:rsidRPr="00874DF8">
        <w:rPr>
          <w:rFonts w:ascii="Symbol" w:hAnsi="Symbol"/>
          <w:lang w:val="en-US"/>
        </w:rPr>
        <w:t>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0 for the function </w:t>
      </w:r>
      <w:r w:rsidRPr="00874DF8">
        <w:sym w:font="Symbol" w:char="F06D"/>
      </w:r>
      <w:r w:rsidRPr="00874DF8">
        <w:rPr>
          <w:lang w:val="en-US"/>
        </w:rPr>
        <w:t>(</w:t>
      </w:r>
      <w:r w:rsidRPr="00874DF8">
        <w:sym w:font="Symbol" w:char="F072"/>
      </w:r>
      <w:r w:rsidRPr="00874DF8">
        <w:rPr>
          <w:lang w:val="en-US"/>
        </w:rPr>
        <w:t>)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1/</w:t>
      </w:r>
      <w:r w:rsidRPr="00874DF8">
        <w:rPr>
          <w:i/>
          <w:lang w:val="en-US"/>
        </w:rPr>
        <w:t>q</w:t>
      </w:r>
      <w:r w:rsidRPr="00874DF8">
        <w:rPr>
          <w:lang w:val="en-US"/>
        </w:rPr>
        <w:t>(</w:t>
      </w:r>
      <w:r w:rsidRPr="00874DF8">
        <w:rPr>
          <w:rFonts w:ascii="Symbol" w:hAnsi="Symbol"/>
          <w:lang w:val="en-US"/>
        </w:rPr>
        <w:t></w:t>
      </w:r>
      <w:r w:rsidRPr="00874DF8">
        <w:rPr>
          <w:lang w:val="en-US"/>
        </w:rPr>
        <w:t xml:space="preserve">) is as follows: </w:t>
      </w:r>
      <w:r w:rsidRPr="00874DF8">
        <w:rPr>
          <w:position w:val="-12"/>
        </w:rPr>
        <w:object w:dxaOrig="940" w:dyaOrig="360">
          <v:shape id="_x0000_i1027" type="#_x0000_t75" style="width:47.25pt;height:18pt" o:ole="">
            <v:imagedata r:id="rId12" o:title=""/>
          </v:shape>
          <o:OLEObject Type="Embed" ProgID="Equation.DSMT4" ShapeID="_x0000_i1027" DrawAspect="Content" ObjectID="_1609530070" r:id="rId13"/>
        </w:object>
      </w:r>
      <w:r w:rsidRPr="00874DF8">
        <w:rPr>
          <w:lang w:val="en-US"/>
        </w:rPr>
        <w:t xml:space="preserve">. Usually, in calculations,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  <w:lang w:val="en-US"/>
        </w:rPr>
        <w:t>0 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1, and for flatter profiles,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  <w:lang w:val="en-US"/>
        </w:rPr>
        <w:t>0 </w:t>
      </w:r>
      <w:r w:rsidRPr="00874DF8">
        <w:rPr>
          <w:lang w:val="en-US"/>
        </w:rPr>
        <w:t>&lt;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1. Figure 2 shows the canonical profiles of temperature with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  <w:lang w:val="en-US"/>
        </w:rPr>
        <w:t>0 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1 and 0.5. Figure 3 compares the calculation results (solid curves) and experiment (dashed lines) for the electron and ion temperatures in shot No. 73197 with heating by all three gyrotrons ABC. Here,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  <w:lang w:val="en-US"/>
        </w:rPr>
        <w:t>0</w:t>
      </w:r>
      <w:r w:rsidRPr="00874DF8">
        <w:rPr>
          <w:i/>
          <w:vertAlign w:val="subscript"/>
          <w:lang w:val="en-US"/>
        </w:rPr>
        <w:t>e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= 0.6, </w:t>
      </w:r>
      <w:r w:rsidRPr="00874DF8">
        <w:rPr>
          <w:rFonts w:ascii="Symbol" w:hAnsi="Symbol"/>
          <w:lang w:val="en-US"/>
        </w:rPr>
        <w:t></w:t>
      </w:r>
      <w:r w:rsidRPr="00874DF8">
        <w:rPr>
          <w:vertAlign w:val="subscript"/>
          <w:lang w:val="en-US"/>
        </w:rPr>
        <w:t>0</w:t>
      </w:r>
      <w:r w:rsidRPr="00874DF8">
        <w:rPr>
          <w:i/>
          <w:vertAlign w:val="subscript"/>
          <w:lang w:val="en-US"/>
        </w:rPr>
        <w:t>i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= 0.55, although </w:t>
      </w:r>
      <w:r w:rsidRPr="00874DF8">
        <w:rPr>
          <w:rFonts w:ascii="Symbol" w:hAnsi="Symbol"/>
          <w:lang w:val="en-US"/>
        </w:rPr>
        <w:t></w:t>
      </w:r>
      <w:r w:rsidRPr="00874DF8">
        <w:rPr>
          <w:lang w:val="en-US"/>
        </w:rPr>
        <w:t xml:space="preserve"> = 1.14 &gt; 1. For the ohmic stage, the calculation gives </w:t>
      </w:r>
      <w:r w:rsidRPr="00874DF8">
        <w:sym w:font="Symbol" w:char="F06D"/>
      </w:r>
      <w:r w:rsidRPr="00874DF8">
        <w:rPr>
          <w:vertAlign w:val="subscript"/>
          <w:lang w:val="en-US"/>
        </w:rPr>
        <w:t>0</w:t>
      </w:r>
      <w:r w:rsidRPr="00874DF8">
        <w:rPr>
          <w:i/>
          <w:vertAlign w:val="subscript"/>
          <w:lang w:val="en-US"/>
        </w:rPr>
        <w:t>e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1 and </w:t>
      </w:r>
      <w:r w:rsidRPr="00874DF8">
        <w:sym w:font="Symbol" w:char="F06D"/>
      </w:r>
      <w:r w:rsidRPr="00874DF8">
        <w:rPr>
          <w:vertAlign w:val="subscript"/>
          <w:lang w:val="en-US"/>
        </w:rPr>
        <w:t>0</w:t>
      </w:r>
      <w:r w:rsidRPr="00874DF8">
        <w:rPr>
          <w:i/>
          <w:vertAlign w:val="subscript"/>
          <w:lang w:val="en-US"/>
        </w:rPr>
        <w:t>i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>=</w:t>
      </w:r>
      <w:r w:rsidRPr="00874DF8">
        <w:rPr>
          <w:vertAlign w:val="subscript"/>
          <w:lang w:val="en-US"/>
        </w:rPr>
        <w:t> </w:t>
      </w:r>
      <w:r w:rsidRPr="00874DF8">
        <w:rPr>
          <w:lang w:val="en-US"/>
        </w:rPr>
        <w:t xml:space="preserve">0.55. The </w:t>
      </w:r>
      <w:r w:rsidRPr="00874DF8">
        <w:rPr>
          <w:i/>
          <w:lang w:val="en-US"/>
        </w:rPr>
        <w:t>T</w:t>
      </w:r>
      <w:r w:rsidRPr="00874DF8">
        <w:rPr>
          <w:i/>
          <w:vertAlign w:val="subscript"/>
          <w:lang w:val="en-US"/>
        </w:rPr>
        <w:t>e</w:t>
      </w:r>
      <w:r w:rsidRPr="00874DF8">
        <w:rPr>
          <w:lang w:val="en-US"/>
        </w:rPr>
        <w:t xml:space="preserve"> profile after transition from OH to ABC phase is strongly flattened due to sawtooth oscillations and non-central heating by the A and C gyrotrons. Figure 3 shows that the model reasonably describes discharges with strong ECR heating (errors </w:t>
      </w:r>
      <w:r w:rsidRPr="00874DF8">
        <w:rPr>
          <w:i/>
          <w:lang w:val="en-US"/>
        </w:rPr>
        <w:t>d</w:t>
      </w:r>
      <w:r w:rsidRPr="00874DF8">
        <w:rPr>
          <w:vertAlign w:val="subscript"/>
          <w:lang w:val="en-US"/>
        </w:rPr>
        <w:t>2</w:t>
      </w:r>
      <w:r w:rsidRPr="00874DF8">
        <w:rPr>
          <w:i/>
          <w:lang w:val="en-US"/>
        </w:rPr>
        <w:t>T</w:t>
      </w:r>
      <w:r w:rsidRPr="00874DF8">
        <w:rPr>
          <w:lang w:val="en-US"/>
        </w:rPr>
        <w:t xml:space="preserve"> &lt; 8%) that allows us to use it for prediction the</w:t>
      </w:r>
      <w:r w:rsidRPr="00EF209B">
        <w:rPr>
          <w:lang w:val="en-US"/>
        </w:rPr>
        <w:t xml:space="preserve"> </w:t>
      </w:r>
      <w:r>
        <w:rPr>
          <w:lang w:val="en-US"/>
        </w:rPr>
        <w:t xml:space="preserve">plasma </w:t>
      </w:r>
      <w:r w:rsidRPr="00EF209B">
        <w:rPr>
          <w:lang w:val="en-US"/>
        </w:rPr>
        <w:t xml:space="preserve">parameters </w:t>
      </w:r>
      <w:r>
        <w:rPr>
          <w:lang w:val="en-US"/>
        </w:rPr>
        <w:t xml:space="preserve">in </w:t>
      </w:r>
      <w:r w:rsidRPr="00EF209B">
        <w:rPr>
          <w:lang w:val="en-US"/>
        </w:rPr>
        <w:t xml:space="preserve">future </w:t>
      </w:r>
      <w:r>
        <w:rPr>
          <w:lang w:val="en-US"/>
        </w:rPr>
        <w:t>device</w:t>
      </w:r>
      <w:r w:rsidRPr="00EF209B">
        <w:rPr>
          <w:lang w:val="en-US"/>
        </w:rPr>
        <w:t xml:space="preserve">s. </w:t>
      </w:r>
    </w:p>
    <w:p w:rsidR="00B7209F" w:rsidRDefault="00B7209F" w:rsidP="00B7209F">
      <w:pPr>
        <w:pStyle w:val="Zv-bodyreport"/>
        <w:rPr>
          <w:lang w:val="en-US"/>
        </w:rPr>
      </w:pPr>
      <w:r>
        <w:rPr>
          <w:lang w:val="en-US"/>
        </w:rPr>
        <w:t xml:space="preserve">The work is supported by Rosatom, Contract No </w:t>
      </w:r>
      <w:r w:rsidRPr="004A1593">
        <w:rPr>
          <w:lang w:val="en-US"/>
        </w:rPr>
        <w:t>1/15470-</w:t>
      </w:r>
      <w:r>
        <w:rPr>
          <w:lang w:val="en-US"/>
        </w:rPr>
        <w:t>D</w:t>
      </w:r>
      <w:r w:rsidRPr="004A1593">
        <w:rPr>
          <w:lang w:val="en-US"/>
        </w:rPr>
        <w:t>/230/1040-18.</w:t>
      </w: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84455</wp:posOffset>
            </wp:positionV>
            <wp:extent cx="2063750" cy="1638300"/>
            <wp:effectExtent l="19050" t="0" r="0" b="0"/>
            <wp:wrapNone/>
            <wp:docPr id="4" name="Рисунок 1" descr="fig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109855</wp:posOffset>
            </wp:positionV>
            <wp:extent cx="1956435" cy="1631950"/>
            <wp:effectExtent l="19050" t="0" r="5715" b="0"/>
            <wp:wrapNone/>
            <wp:docPr id="6" name="Рисунок 0" descr="fig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57785</wp:posOffset>
            </wp:positionV>
            <wp:extent cx="1999615" cy="1676400"/>
            <wp:effectExtent l="19050" t="0" r="635" b="0"/>
            <wp:wrapNone/>
            <wp:docPr id="5" name="Рисунок 2" descr="fig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</w:p>
    <w:p w:rsidR="00B7209F" w:rsidRPr="00874DF8" w:rsidRDefault="00B7209F" w:rsidP="00B7209F">
      <w:pPr>
        <w:pStyle w:val="Zv-bodyreport"/>
        <w:ind w:firstLine="0"/>
        <w:rPr>
          <w:lang w:val="en-US"/>
        </w:rPr>
      </w:pPr>
    </w:p>
    <w:p w:rsidR="00B7209F" w:rsidRDefault="00B7209F" w:rsidP="00B7209F">
      <w:pPr>
        <w:pStyle w:val="Zv-bodyreport"/>
        <w:ind w:firstLine="0"/>
        <w:rPr>
          <w:lang w:val="en-US"/>
        </w:rPr>
      </w:pPr>
    </w:p>
    <w:p w:rsidR="00B7209F" w:rsidRPr="0026740F" w:rsidRDefault="00B7209F" w:rsidP="00B7209F">
      <w:pPr>
        <w:pStyle w:val="Zv-bodyreport"/>
        <w:tabs>
          <w:tab w:val="left" w:pos="1418"/>
          <w:tab w:val="left" w:pos="4678"/>
          <w:tab w:val="left" w:pos="7797"/>
        </w:tabs>
        <w:ind w:firstLine="0"/>
        <w:rPr>
          <w:lang w:val="en-US"/>
        </w:rPr>
      </w:pPr>
      <w:r w:rsidRPr="00232887">
        <w:rPr>
          <w:lang w:val="en-US"/>
        </w:rPr>
        <w:tab/>
      </w:r>
      <w:r>
        <w:rPr>
          <w:lang w:val="en-US"/>
        </w:rPr>
        <w:t>Fig. 1.</w:t>
      </w:r>
      <w:r>
        <w:rPr>
          <w:lang w:val="en-US"/>
        </w:rPr>
        <w:tab/>
        <w:t>Fig. 2.</w:t>
      </w:r>
      <w:r>
        <w:tab/>
      </w:r>
      <w:r>
        <w:rPr>
          <w:lang w:val="en-US"/>
        </w:rPr>
        <w:t>Fig.3.</w:t>
      </w:r>
    </w:p>
    <w:p w:rsidR="00B7209F" w:rsidRDefault="00B7209F" w:rsidP="00B7209F">
      <w:pPr>
        <w:pStyle w:val="Zv-TitleReferences-en"/>
        <w:rPr>
          <w:lang w:val="en-US"/>
        </w:rPr>
      </w:pPr>
      <w:r w:rsidRPr="00B7209F">
        <w:t>References</w:t>
      </w:r>
    </w:p>
    <w:p w:rsidR="00B7209F" w:rsidRPr="00232887" w:rsidRDefault="00B7209F" w:rsidP="00B7209F">
      <w:pPr>
        <w:pStyle w:val="Zv-References-en"/>
      </w:pPr>
      <w:r w:rsidRPr="00FE2DF2">
        <w:t xml:space="preserve">Dnestrovskij Yu.N., Connor J.W., et al., Plasma Phys. </w:t>
      </w:r>
      <w:r w:rsidRPr="00232887">
        <w:t>Control. Fusion, 2007, 49, 1477.</w:t>
      </w:r>
    </w:p>
    <w:p w:rsidR="00B7209F" w:rsidRPr="00FE2DF2" w:rsidRDefault="00B7209F" w:rsidP="00B7209F">
      <w:pPr>
        <w:pStyle w:val="Zv-References-en"/>
      </w:pPr>
      <w:r w:rsidRPr="00FE2DF2">
        <w:t>Krupin V.A. et al., Plasma Phys Rep. 2013, 39, 632.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6C" w:rsidRDefault="001B4F6C">
      <w:r>
        <w:separator/>
      </w:r>
    </w:p>
  </w:endnote>
  <w:endnote w:type="continuationSeparator" w:id="0">
    <w:p w:rsidR="001B4F6C" w:rsidRDefault="001B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09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09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0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6C" w:rsidRDefault="001B4F6C">
      <w:r>
        <w:separator/>
      </w:r>
    </w:p>
  </w:footnote>
  <w:footnote w:type="continuationSeparator" w:id="0">
    <w:p w:rsidR="001B4F6C" w:rsidRDefault="001B4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9B09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4F6C"/>
    <w:rsid w:val="00043701"/>
    <w:rsid w:val="000C657D"/>
    <w:rsid w:val="000C7078"/>
    <w:rsid w:val="000D76E9"/>
    <w:rsid w:val="000E495B"/>
    <w:rsid w:val="001B4F6C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9B094B"/>
    <w:rsid w:val="00AE6185"/>
    <w:rsid w:val="00B622ED"/>
    <w:rsid w:val="00B7209F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B72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nestrovskiy_YN@nrcki.ru" TargetMode="Externa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tif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tiff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MODEL WITH DIFFERENT CANONICAL PROFILES FOR IONS AND ELECTRONS</dc:title>
  <dc:creator>sato</dc:creator>
  <cp:lastModifiedBy>Сатунин</cp:lastModifiedBy>
  <cp:revision>1</cp:revision>
  <cp:lastPrinted>1601-01-01T00:00:00Z</cp:lastPrinted>
  <dcterms:created xsi:type="dcterms:W3CDTF">2019-01-20T19:49:00Z</dcterms:created>
  <dcterms:modified xsi:type="dcterms:W3CDTF">2019-01-20T19:53:00Z</dcterms:modified>
</cp:coreProperties>
</file>