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9E2" w:rsidRPr="001B10E6" w:rsidRDefault="002D29E2" w:rsidP="002D29E2">
      <w:pPr>
        <w:pStyle w:val="Zv-Titlereport"/>
      </w:pPr>
      <w:bookmarkStart w:id="0" w:name="_Hlk531705045"/>
      <w:r w:rsidRPr="001B10E6">
        <w:t>ЭЛЕКТРИЧЕСКАЯ</w:t>
      </w:r>
      <w:r>
        <w:t xml:space="preserve"> </w:t>
      </w:r>
      <w:r w:rsidRPr="001B10E6">
        <w:t>НЕКВАЗИНЕЙТРАЛЬНОСТЬ</w:t>
      </w:r>
      <w:r>
        <w:t xml:space="preserve"> </w:t>
      </w:r>
      <w:r w:rsidRPr="001B10E6">
        <w:t>РАЗРУШАЕТ СИММЕТРИЮ ВСЕЛЕННОЙ ПРИ ФАЗОВОМ ВЗРЫВЕ</w:t>
      </w:r>
    </w:p>
    <w:bookmarkEnd w:id="0"/>
    <w:p w:rsidR="002D29E2" w:rsidRDefault="002D29E2" w:rsidP="002D29E2">
      <w:pPr>
        <w:pStyle w:val="Zv-Author"/>
      </w:pPr>
      <w:r>
        <w:t>Гордеев</w:t>
      </w:r>
      <w:r w:rsidRPr="004A70B2">
        <w:t xml:space="preserve"> </w:t>
      </w:r>
      <w:r>
        <w:t>А.В.</w:t>
      </w:r>
    </w:p>
    <w:p w:rsidR="002D29E2" w:rsidRPr="002D29E2" w:rsidRDefault="002D29E2" w:rsidP="002D29E2">
      <w:pPr>
        <w:pStyle w:val="Zv-Organization"/>
      </w:pPr>
      <w:r w:rsidRPr="004A70B2">
        <w:t>НИИ «Курчатовский институт», Москва, Россия,</w:t>
      </w:r>
      <w:r>
        <w:t xml:space="preserve"> </w:t>
      </w:r>
      <w:hyperlink r:id="rId7" w:history="1">
        <w:r w:rsidRPr="009E0048">
          <w:rPr>
            <w:rStyle w:val="a7"/>
          </w:rPr>
          <w:t>alexandergordeev@yandex.ru</w:t>
        </w:r>
      </w:hyperlink>
    </w:p>
    <w:p w:rsidR="002D29E2" w:rsidRPr="00154B53" w:rsidRDefault="002D29E2" w:rsidP="002D29E2">
      <w:pPr>
        <w:pStyle w:val="Zv-bodyreport"/>
      </w:pPr>
      <w:r w:rsidRPr="001B10E6">
        <w:t xml:space="preserve">Формирование </w:t>
      </w:r>
      <w:r>
        <w:t xml:space="preserve">потока электромагнитного поля в сингулярности [1] в отсутствие заряженных частиц не приводит к вылету материи ввиду отражения от гравитации. Реальный вылет материи оказывается возможным в результате фазового взрыва – одновременного появления радиального электрического поля </w:t>
      </w:r>
      <w:r w:rsidRPr="001B10E6">
        <w:rPr>
          <w:position w:val="-10"/>
        </w:rPr>
        <w:object w:dxaOrig="3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7.25pt" o:ole="">
            <v:imagedata r:id="rId8" o:title=""/>
          </v:shape>
          <o:OLEObject Type="Embed" ProgID="Equation.3" ShapeID="_x0000_i1025" DrawAspect="Content" ObjectID="_1610792389" r:id="rId9"/>
        </w:object>
      </w:r>
      <w:r>
        <w:t xml:space="preserve"> и швингеровского рождения заряженных частиц вне сингулярности при</w:t>
      </w:r>
      <w:r w:rsidRPr="0044633A">
        <w:t xml:space="preserve"> </w:t>
      </w:r>
      <w:r>
        <w:t xml:space="preserve">учёте уравнения Пуассона [2]. При этом предполагается, что вблизи сингулярности возможно разделение заряженных частиц разного знака, которые возникают одновременно с электрическим полем </w:t>
      </w:r>
      <w:r w:rsidRPr="00501F97">
        <w:rPr>
          <w:position w:val="-10"/>
        </w:rPr>
        <w:object w:dxaOrig="340" w:dyaOrig="340">
          <v:shape id="_x0000_i1026" type="#_x0000_t75" style="width:17.25pt;height:17.25pt" o:ole="">
            <v:imagedata r:id="rId10" o:title=""/>
          </v:shape>
          <o:OLEObject Type="Embed" ProgID="Equation.3" ShapeID="_x0000_i1026" DrawAspect="Content" ObjectID="_1610792390" r:id="rId11"/>
        </w:object>
      </w:r>
    </w:p>
    <w:p w:rsidR="002D29E2" w:rsidRPr="00693129" w:rsidRDefault="002D29E2" w:rsidP="002D29E2">
      <w:pPr>
        <w:pStyle w:val="Zv-bodyreport"/>
      </w:pPr>
      <w:r w:rsidRPr="005F2394">
        <w:rPr>
          <w:position w:val="-24"/>
        </w:rPr>
        <w:object w:dxaOrig="2960" w:dyaOrig="620">
          <v:shape id="_x0000_i1027" type="#_x0000_t75" style="width:147.75pt;height:30.75pt" o:ole="">
            <v:imagedata r:id="rId12" o:title=""/>
          </v:shape>
          <o:OLEObject Type="Embed" ProgID="Equation.3" ShapeID="_x0000_i1027" DrawAspect="Content" ObjectID="_1610792391" r:id="rId13"/>
        </w:object>
      </w:r>
      <w:r>
        <w:t xml:space="preserve">, </w:t>
      </w:r>
      <w:r w:rsidRPr="00CD3C97">
        <w:rPr>
          <w:position w:val="-24"/>
        </w:rPr>
        <w:object w:dxaOrig="2960" w:dyaOrig="620">
          <v:shape id="_x0000_i1028" type="#_x0000_t75" style="width:147.75pt;height:30.75pt" o:ole="">
            <v:imagedata r:id="rId14" o:title=""/>
          </v:shape>
          <o:OLEObject Type="Embed" ProgID="Equation.3" ShapeID="_x0000_i1028" DrawAspect="Content" ObjectID="_1610792392" r:id="rId15"/>
        </w:object>
      </w:r>
      <w:r>
        <w:t xml:space="preserve">, где </w:t>
      </w:r>
      <w:r w:rsidRPr="00CD3C97">
        <w:rPr>
          <w:position w:val="-10"/>
        </w:rPr>
        <w:object w:dxaOrig="279" w:dyaOrig="340">
          <v:shape id="_x0000_i1029" type="#_x0000_t75" style="width:14.25pt;height:17.25pt" o:ole="">
            <v:imagedata r:id="rId16" o:title=""/>
          </v:shape>
          <o:OLEObject Type="Embed" ProgID="Equation.3" ShapeID="_x0000_i1029" DrawAspect="Content" ObjectID="_1610792393" r:id="rId17"/>
        </w:object>
      </w:r>
      <w:r w:rsidRPr="00693129">
        <w:t>&gt; 0,</w:t>
      </w:r>
      <w:r>
        <w:t xml:space="preserve"> </w:t>
      </w:r>
      <w:r w:rsidRPr="00CD3C97">
        <w:rPr>
          <w:position w:val="-10"/>
          <w:lang w:val="en-US"/>
        </w:rPr>
        <w:object w:dxaOrig="279" w:dyaOrig="340">
          <v:shape id="_x0000_i1030" type="#_x0000_t75" style="width:14.25pt;height:17.25pt" o:ole="">
            <v:imagedata r:id="rId18" o:title=""/>
          </v:shape>
          <o:OLEObject Type="Embed" ProgID="Equation.3" ShapeID="_x0000_i1030" DrawAspect="Content" ObjectID="_1610792394" r:id="rId19"/>
        </w:object>
      </w:r>
      <w:r>
        <w:t xml:space="preserve"> </w:t>
      </w:r>
      <w:r w:rsidRPr="00693129">
        <w:t>&lt; 0.</w:t>
      </w:r>
    </w:p>
    <w:p w:rsidR="002D29E2" w:rsidRDefault="002D29E2" w:rsidP="002D29E2">
      <w:pPr>
        <w:pStyle w:val="Zv-bodyreport"/>
      </w:pPr>
      <w:r>
        <w:t>Тогда в уравнении Пуассона после дифференцирования по времени получается</w:t>
      </w:r>
      <w:r w:rsidRPr="00693129">
        <w:rPr>
          <w:position w:val="-10"/>
        </w:rPr>
        <w:object w:dxaOrig="180" w:dyaOrig="340">
          <v:shape id="_x0000_i1031" type="#_x0000_t75" style="width:9pt;height:17.25pt" o:ole="">
            <v:imagedata r:id="rId20" o:title=""/>
          </v:shape>
          <o:OLEObject Type="Embed" ProgID="Equation.3" ShapeID="_x0000_i1031" DrawAspect="Content" ObjectID="_1610792395" r:id="rId21"/>
        </w:object>
      </w:r>
      <w:r w:rsidRPr="00693129">
        <w:rPr>
          <w:position w:val="-24"/>
        </w:rPr>
        <w:object w:dxaOrig="3920" w:dyaOrig="620">
          <v:shape id="_x0000_i1032" type="#_x0000_t75" style="width:195.75pt;height:30.75pt" o:ole="">
            <v:imagedata r:id="rId22" o:title=""/>
          </v:shape>
          <o:OLEObject Type="Embed" ProgID="Equation.3" ShapeID="_x0000_i1032" DrawAspect="Content" ObjectID="_1610792396" r:id="rId23"/>
        </w:object>
      </w:r>
      <w:r>
        <w:t xml:space="preserve">, где в правой части стоит величина, пропорциональная сумме пар частиц, рождающихся в единичном объёме в единицу времени </w:t>
      </w:r>
      <w:r>
        <w:rPr>
          <w:lang w:val="en-US"/>
        </w:rPr>
        <w:t>w</w:t>
      </w:r>
      <w:r w:rsidRPr="00BC40F2">
        <w:rPr>
          <w:position w:val="-10"/>
          <w:lang w:val="en-US"/>
        </w:rPr>
        <w:object w:dxaOrig="1020" w:dyaOrig="360">
          <v:shape id="_x0000_i1033" type="#_x0000_t75" style="width:51pt;height:18pt" o:ole="">
            <v:imagedata r:id="rId24" o:title=""/>
          </v:shape>
          <o:OLEObject Type="Embed" ProgID="Equation.3" ShapeID="_x0000_i1033" DrawAspect="Content" ObjectID="_1610792397" r:id="rId25"/>
        </w:object>
      </w:r>
      <w:r>
        <w:t xml:space="preserve">. Поэтому в соответствии с [2] это выражение можно переписать в виде </w:t>
      </w:r>
    </w:p>
    <w:p w:rsidR="002D29E2" w:rsidRDefault="002D29E2" w:rsidP="002D29E2">
      <w:pPr>
        <w:pStyle w:val="Zv-bodyreport"/>
        <w:ind w:left="708" w:firstLine="708"/>
      </w:pPr>
      <w:r w:rsidRPr="0051450E">
        <w:rPr>
          <w:position w:val="-30"/>
        </w:rPr>
        <w:object w:dxaOrig="5200" w:dyaOrig="720">
          <v:shape id="_x0000_i1034" type="#_x0000_t75" style="width:260.25pt;height:36pt" o:ole="">
            <v:imagedata r:id="rId26" o:title=""/>
          </v:shape>
          <o:OLEObject Type="Embed" ProgID="Equation.3" ShapeID="_x0000_i1034" DrawAspect="Content" ObjectID="_1610792398" r:id="rId27"/>
        </w:object>
      </w:r>
      <w:r>
        <w:t>,</w:t>
      </w:r>
    </w:p>
    <w:p w:rsidR="002D29E2" w:rsidRDefault="002D29E2" w:rsidP="002D29E2">
      <w:pPr>
        <w:pStyle w:val="Zv-bodyreport"/>
        <w:ind w:firstLine="0"/>
      </w:pPr>
      <w:r>
        <w:t>где</w:t>
      </w:r>
      <w:r w:rsidRPr="00233CE6">
        <w:rPr>
          <w:position w:val="-12"/>
        </w:rPr>
        <w:object w:dxaOrig="2340" w:dyaOrig="480">
          <v:shape id="_x0000_i1035" type="#_x0000_t75" style="width:117pt;height:24pt" o:ole="">
            <v:imagedata r:id="rId28" o:title=""/>
          </v:shape>
          <o:OLEObject Type="Embed" ProgID="Equation.3" ShapeID="_x0000_i1035" DrawAspect="Content" ObjectID="_1610792399" r:id="rId29"/>
        </w:object>
      </w:r>
      <w:r w:rsidRPr="0064681C">
        <w:t>,</w:t>
      </w:r>
      <w:r w:rsidRPr="00233CE6">
        <w:rPr>
          <w:position w:val="-12"/>
          <w:lang w:val="en-US"/>
        </w:rPr>
        <w:object w:dxaOrig="2380" w:dyaOrig="480">
          <v:shape id="_x0000_i1036" type="#_x0000_t75" style="width:119.25pt;height:24pt" o:ole="">
            <v:imagedata r:id="rId30" o:title=""/>
          </v:shape>
          <o:OLEObject Type="Embed" ProgID="Equation.3" ShapeID="_x0000_i1036" DrawAspect="Content" ObjectID="_1610792400" r:id="rId31"/>
        </w:object>
      </w:r>
      <w:r w:rsidRPr="0064681C">
        <w:t>,</w:t>
      </w:r>
      <w:r w:rsidRPr="00ED0C86">
        <w:rPr>
          <w:position w:val="-32"/>
          <w:lang w:val="en-US"/>
        </w:rPr>
        <w:object w:dxaOrig="1820" w:dyaOrig="760">
          <v:shape id="_x0000_i1037" type="#_x0000_t75" style="width:90.75pt;height:38.25pt" o:ole="">
            <v:imagedata r:id="rId32" o:title=""/>
          </v:shape>
          <o:OLEObject Type="Embed" ProgID="Equation.3" ShapeID="_x0000_i1037" DrawAspect="Content" ObjectID="_1610792401" r:id="rId33"/>
        </w:object>
      </w:r>
      <w:r>
        <w:t>,</w:t>
      </w:r>
      <w:r w:rsidRPr="00ED0C86">
        <w:rPr>
          <w:position w:val="-28"/>
        </w:rPr>
        <w:object w:dxaOrig="1500" w:dyaOrig="660">
          <v:shape id="_x0000_i1038" type="#_x0000_t75" style="width:75pt;height:33pt" o:ole="">
            <v:imagedata r:id="rId34" o:title=""/>
          </v:shape>
          <o:OLEObject Type="Embed" ProgID="Equation.3" ShapeID="_x0000_i1038" DrawAspect="Content" ObjectID="_1610792402" r:id="rId35"/>
        </w:object>
      </w:r>
      <w:r>
        <w:t>.</w:t>
      </w:r>
    </w:p>
    <w:p w:rsidR="002D29E2" w:rsidRDefault="002D29E2" w:rsidP="002D29E2">
      <w:pPr>
        <w:pStyle w:val="Zv-bodyreport"/>
      </w:pPr>
      <w:r>
        <w:t xml:space="preserve">При этом </w:t>
      </w:r>
      <w:r w:rsidRPr="0066407D">
        <w:rPr>
          <w:position w:val="-16"/>
        </w:rPr>
        <w:object w:dxaOrig="1080" w:dyaOrig="460">
          <v:shape id="_x0000_i1039" type="#_x0000_t75" style="width:54pt;height:23.25pt" o:ole="">
            <v:imagedata r:id="rId36" o:title=""/>
          </v:shape>
          <o:OLEObject Type="Embed" ProgID="Equation.3" ShapeID="_x0000_i1039" DrawAspect="Content" ObjectID="_1610792403" r:id="rId37"/>
        </w:object>
      </w:r>
      <w:r>
        <w:t xml:space="preserve">, </w:t>
      </w:r>
      <w:r w:rsidRPr="0066407D">
        <w:rPr>
          <w:position w:val="-38"/>
        </w:rPr>
        <w:object w:dxaOrig="1160" w:dyaOrig="820">
          <v:shape id="_x0000_i1040" type="#_x0000_t75" style="width:57.75pt;height:41.25pt" o:ole="">
            <v:imagedata r:id="rId38" o:title=""/>
          </v:shape>
          <o:OLEObject Type="Embed" ProgID="Equation.3" ShapeID="_x0000_i1040" DrawAspect="Content" ObjectID="_1610792404" r:id="rId39"/>
        </w:object>
      </w:r>
      <w:r>
        <w:t xml:space="preserve">, </w:t>
      </w:r>
      <w:r w:rsidRPr="0066407D">
        <w:rPr>
          <w:position w:val="-32"/>
        </w:rPr>
        <w:object w:dxaOrig="1020" w:dyaOrig="760">
          <v:shape id="_x0000_i1041" type="#_x0000_t75" style="width:51pt;height:38.25pt" o:ole="">
            <v:imagedata r:id="rId40" o:title=""/>
          </v:shape>
          <o:OLEObject Type="Embed" ProgID="Equation.3" ShapeID="_x0000_i1041" DrawAspect="Content" ObjectID="_1610792405" r:id="rId41"/>
        </w:object>
      </w:r>
      <w:r>
        <w:t xml:space="preserve">, </w:t>
      </w:r>
      <w:r w:rsidRPr="0066407D">
        <w:rPr>
          <w:position w:val="-24"/>
        </w:rPr>
        <w:object w:dxaOrig="1219" w:dyaOrig="660">
          <v:shape id="_x0000_i1042" type="#_x0000_t75" style="width:60.75pt;height:33pt" o:ole="">
            <v:imagedata r:id="rId42" o:title=""/>
          </v:shape>
          <o:OLEObject Type="Embed" ProgID="Equation.3" ShapeID="_x0000_i1042" DrawAspect="Content" ObjectID="_1610792406" r:id="rId43"/>
        </w:object>
      </w:r>
      <w:r>
        <w:t>.</w:t>
      </w:r>
    </w:p>
    <w:p w:rsidR="002D29E2" w:rsidRDefault="002D29E2" w:rsidP="002D29E2">
      <w:pPr>
        <w:pStyle w:val="Zv-bodyreport"/>
      </w:pPr>
      <w:r>
        <w:t xml:space="preserve">В сингулярности </w:t>
      </w:r>
      <w:r w:rsidRPr="007357A6">
        <w:rPr>
          <w:position w:val="-6"/>
        </w:rPr>
        <w:object w:dxaOrig="1080" w:dyaOrig="279">
          <v:shape id="_x0000_i1043" type="#_x0000_t75" style="width:54pt;height:14.25pt" o:ole="">
            <v:imagedata r:id="rId44" o:title=""/>
          </v:shape>
          <o:OLEObject Type="Embed" ProgID="Equation.3" ShapeID="_x0000_i1043" DrawAspect="Content" ObjectID="_1610792407" r:id="rId45"/>
        </w:object>
      </w:r>
      <w:r>
        <w:t xml:space="preserve">, вне сингулярности ввиду скачка электрического поля </w:t>
      </w:r>
      <w:r w:rsidRPr="007357A6">
        <w:rPr>
          <w:position w:val="-24"/>
        </w:rPr>
        <w:object w:dxaOrig="999" w:dyaOrig="660">
          <v:shape id="_x0000_i1044" type="#_x0000_t75" style="width:50.25pt;height:33pt" o:ole="">
            <v:imagedata r:id="rId46" o:title=""/>
          </v:shape>
          <o:OLEObject Type="Embed" ProgID="Equation.3" ShapeID="_x0000_i1044" DrawAspect="Content" ObjectID="_1610792408" r:id="rId47"/>
        </w:object>
      </w:r>
      <w:r>
        <w:t xml:space="preserve">. Ввиду концентрации антиматерии вблизи сингулярности </w:t>
      </w:r>
      <w:r w:rsidRPr="007357A6">
        <w:rPr>
          <w:position w:val="-14"/>
        </w:rPr>
        <w:object w:dxaOrig="520" w:dyaOrig="400">
          <v:shape id="_x0000_i1045" type="#_x0000_t75" style="width:26.25pt;height:20.25pt" o:ole="">
            <v:imagedata r:id="rId48" o:title=""/>
          </v:shape>
          <o:OLEObject Type="Embed" ProgID="Equation.3" ShapeID="_x0000_i1045" DrawAspect="Content" ObjectID="_1610792409" r:id="rId49"/>
        </w:object>
      </w:r>
      <w:r>
        <w:t xml:space="preserve"> &lt; 0.</w:t>
      </w:r>
    </w:p>
    <w:p w:rsidR="002D29E2" w:rsidRDefault="002D29E2" w:rsidP="002D29E2">
      <w:pPr>
        <w:pStyle w:val="Zv-bodyreport"/>
      </w:pPr>
      <w:r>
        <w:t>Поэтому уравнение для электрического поля принимает вид</w:t>
      </w:r>
    </w:p>
    <w:p w:rsidR="002D29E2" w:rsidRDefault="002D29E2" w:rsidP="002D29E2">
      <w:pPr>
        <w:pStyle w:val="Zv-bodyreport"/>
      </w:pPr>
      <w:r w:rsidRPr="0029367D">
        <w:rPr>
          <w:position w:val="-38"/>
        </w:rPr>
        <w:object w:dxaOrig="5220" w:dyaOrig="900">
          <v:shape id="_x0000_i1046" type="#_x0000_t75" style="width:261pt;height:45pt" o:ole="">
            <v:imagedata r:id="rId50" o:title=""/>
          </v:shape>
          <o:OLEObject Type="Embed" ProgID="Equation.3" ShapeID="_x0000_i1046" DrawAspect="Content" ObjectID="_1610792410" r:id="rId51"/>
        </w:object>
      </w:r>
      <w:r>
        <w:t>.</w:t>
      </w:r>
    </w:p>
    <w:p w:rsidR="002D29E2" w:rsidRDefault="002D29E2" w:rsidP="002D29E2">
      <w:pPr>
        <w:pStyle w:val="Zv-bodyreport"/>
      </w:pPr>
      <w:r>
        <w:t xml:space="preserve">Вводя обозначения </w:t>
      </w:r>
      <w:r w:rsidRPr="007157D2">
        <w:rPr>
          <w:position w:val="-24"/>
        </w:rPr>
        <w:object w:dxaOrig="660" w:dyaOrig="620">
          <v:shape id="_x0000_i1047" type="#_x0000_t75" style="width:33pt;height:30.75pt" o:ole="">
            <v:imagedata r:id="rId52" o:title=""/>
          </v:shape>
          <o:OLEObject Type="Embed" ProgID="Equation.3" ShapeID="_x0000_i1047" DrawAspect="Content" ObjectID="_1610792411" r:id="rId53"/>
        </w:object>
      </w:r>
      <w:r>
        <w:t xml:space="preserve">, </w:t>
      </w:r>
      <w:r w:rsidRPr="007157D2">
        <w:rPr>
          <w:position w:val="-30"/>
        </w:rPr>
        <w:object w:dxaOrig="1040" w:dyaOrig="780">
          <v:shape id="_x0000_i1048" type="#_x0000_t75" style="width:51.75pt;height:39pt" o:ole="">
            <v:imagedata r:id="rId54" o:title=""/>
          </v:shape>
          <o:OLEObject Type="Embed" ProgID="Equation.3" ShapeID="_x0000_i1048" DrawAspect="Content" ObjectID="_1610792412" r:id="rId55"/>
        </w:object>
      </w:r>
      <w:r>
        <w:t>, получим окончательное уравнение</w:t>
      </w:r>
    </w:p>
    <w:p w:rsidR="002D29E2" w:rsidRPr="0055776D" w:rsidRDefault="002D29E2" w:rsidP="002D29E2">
      <w:pPr>
        <w:pStyle w:val="Zv-bodyreport"/>
      </w:pPr>
      <w:r w:rsidRPr="00154B53">
        <w:rPr>
          <w:position w:val="-30"/>
          <w:lang w:val="en-US"/>
        </w:rPr>
        <w:object w:dxaOrig="4540" w:dyaOrig="720">
          <v:shape id="_x0000_i1049" type="#_x0000_t75" style="width:227.25pt;height:36pt" o:ole="">
            <v:imagedata r:id="rId56" o:title=""/>
          </v:shape>
          <o:OLEObject Type="Embed" ProgID="Equation.3" ShapeID="_x0000_i1049" DrawAspect="Content" ObjectID="_1610792413" r:id="rId57"/>
        </w:object>
      </w:r>
      <w:r w:rsidRPr="00CE21DE">
        <w:t>.</w:t>
      </w:r>
    </w:p>
    <w:p w:rsidR="002D29E2" w:rsidRPr="0044633A" w:rsidRDefault="002D29E2" w:rsidP="002D29E2">
      <w:pPr>
        <w:pStyle w:val="Zv-TitleReferences-ru"/>
        <w:rPr>
          <w:lang w:val="en-US"/>
        </w:rPr>
      </w:pPr>
      <w:r>
        <w:t>Литература</w:t>
      </w:r>
    </w:p>
    <w:p w:rsidR="002D29E2" w:rsidRPr="0065245F" w:rsidRDefault="002D29E2" w:rsidP="002D29E2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Hawking S.W., Penrose R. // Proc. Roy.Soc. Lond. A. 314, 529 – 548 (1970). Printed</w:t>
      </w:r>
      <w:r w:rsidRPr="0065245F">
        <w:rPr>
          <w:lang w:val="en-US"/>
        </w:rPr>
        <w:t xml:space="preserve"> </w:t>
      </w:r>
      <w:r>
        <w:rPr>
          <w:lang w:val="en-US"/>
        </w:rPr>
        <w:t>in</w:t>
      </w:r>
      <w:r w:rsidRPr="0065245F">
        <w:rPr>
          <w:lang w:val="en-US"/>
        </w:rPr>
        <w:t xml:space="preserve"> </w:t>
      </w:r>
      <w:r>
        <w:rPr>
          <w:lang w:val="en-US"/>
        </w:rPr>
        <w:t>Great</w:t>
      </w:r>
      <w:r w:rsidRPr="0065245F">
        <w:rPr>
          <w:lang w:val="en-US"/>
        </w:rPr>
        <w:t xml:space="preserve"> </w:t>
      </w:r>
      <w:r>
        <w:rPr>
          <w:lang w:val="en-US"/>
        </w:rPr>
        <w:t>Britain</w:t>
      </w:r>
      <w:r w:rsidRPr="0065245F">
        <w:rPr>
          <w:lang w:val="en-US"/>
        </w:rPr>
        <w:t>.</w:t>
      </w:r>
    </w:p>
    <w:p w:rsidR="002D29E2" w:rsidRPr="0065245F" w:rsidRDefault="002D29E2" w:rsidP="002D29E2">
      <w:pPr>
        <w:pStyle w:val="Zv-References-ru"/>
        <w:numPr>
          <w:ilvl w:val="0"/>
          <w:numId w:val="1"/>
        </w:numPr>
        <w:rPr>
          <w:lang w:val="en-US"/>
        </w:rPr>
      </w:pPr>
      <w:r>
        <w:t>Ритус</w:t>
      </w:r>
      <w:r w:rsidRPr="0065245F">
        <w:t xml:space="preserve"> </w:t>
      </w:r>
      <w:r>
        <w:t>В</w:t>
      </w:r>
      <w:r w:rsidRPr="0065245F">
        <w:t>.</w:t>
      </w:r>
      <w:r>
        <w:t>И</w:t>
      </w:r>
      <w:r w:rsidRPr="0065245F">
        <w:t xml:space="preserve">., </w:t>
      </w:r>
      <w:r>
        <w:t>Никишов</w:t>
      </w:r>
      <w:r w:rsidRPr="0065245F">
        <w:t xml:space="preserve"> </w:t>
      </w:r>
      <w:r>
        <w:t>А</w:t>
      </w:r>
      <w:r w:rsidRPr="0065245F">
        <w:t>.</w:t>
      </w:r>
      <w:r>
        <w:t>И</w:t>
      </w:r>
      <w:r w:rsidRPr="0065245F">
        <w:t>.</w:t>
      </w:r>
      <w:r w:rsidRPr="0060258D">
        <w:t xml:space="preserve"> </w:t>
      </w:r>
      <w:r w:rsidRPr="0065245F">
        <w:t>//</w:t>
      </w:r>
      <w:r w:rsidRPr="0060258D">
        <w:t xml:space="preserve"> </w:t>
      </w:r>
      <w:r>
        <w:t>Квантовая</w:t>
      </w:r>
      <w:r w:rsidRPr="0065245F">
        <w:t xml:space="preserve"> </w:t>
      </w:r>
      <w:r>
        <w:t>электродинамика</w:t>
      </w:r>
      <w:r w:rsidRPr="0065245F">
        <w:t xml:space="preserve"> </w:t>
      </w:r>
      <w:r>
        <w:t>явлений</w:t>
      </w:r>
      <w:r w:rsidRPr="0065245F">
        <w:t xml:space="preserve"> </w:t>
      </w:r>
      <w:r>
        <w:t>в</w:t>
      </w:r>
      <w:r w:rsidRPr="0065245F">
        <w:t xml:space="preserve"> </w:t>
      </w:r>
      <w:r>
        <w:t>интенсивном</w:t>
      </w:r>
      <w:r w:rsidRPr="0065245F">
        <w:t xml:space="preserve"> </w:t>
      </w:r>
      <w:r>
        <w:t>поле</w:t>
      </w:r>
      <w:r w:rsidRPr="0065245F">
        <w:t xml:space="preserve">. </w:t>
      </w:r>
      <w:r>
        <w:t>Труды</w:t>
      </w:r>
      <w:r w:rsidRPr="0060258D">
        <w:t xml:space="preserve"> </w:t>
      </w:r>
      <w:r>
        <w:t>ФИАН</w:t>
      </w:r>
      <w:r w:rsidRPr="0060258D">
        <w:t xml:space="preserve">, </w:t>
      </w:r>
      <w:r>
        <w:t>т</w:t>
      </w:r>
      <w:r w:rsidRPr="0060258D">
        <w:t xml:space="preserve">. 111. </w:t>
      </w:r>
      <w:r>
        <w:t>М</w:t>
      </w:r>
      <w:r w:rsidRPr="0065245F">
        <w:rPr>
          <w:lang w:val="en-US"/>
        </w:rPr>
        <w:t xml:space="preserve">.: </w:t>
      </w:r>
      <w:r>
        <w:t>Наука</w:t>
      </w:r>
      <w:r w:rsidRPr="0065245F">
        <w:rPr>
          <w:lang w:val="en-US"/>
        </w:rPr>
        <w:t>, 1979.</w:t>
      </w:r>
    </w:p>
    <w:sectPr w:rsidR="002D29E2" w:rsidRPr="0065245F" w:rsidSect="00F95123">
      <w:headerReference w:type="default" r:id="rId58"/>
      <w:footerReference w:type="even" r:id="rId59"/>
      <w:footerReference w:type="default" r:id="rId6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738" w:rsidRDefault="00C90738">
      <w:r>
        <w:separator/>
      </w:r>
    </w:p>
  </w:endnote>
  <w:endnote w:type="continuationSeparator" w:id="0">
    <w:p w:rsidR="00C90738" w:rsidRDefault="00C90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D0D1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D0D1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29E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738" w:rsidRDefault="00C90738">
      <w:r>
        <w:separator/>
      </w:r>
    </w:p>
  </w:footnote>
  <w:footnote w:type="continuationSeparator" w:id="0">
    <w:p w:rsidR="00C90738" w:rsidRDefault="00C907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2D29E2">
      <w:rPr>
        <w:sz w:val="20"/>
      </w:rPr>
      <w:t>18</w:t>
    </w:r>
    <w:r>
      <w:rPr>
        <w:sz w:val="20"/>
      </w:rPr>
      <w:t xml:space="preserve"> – </w:t>
    </w:r>
    <w:r w:rsidR="0094721E" w:rsidRPr="002D29E2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5D0D1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90738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29E2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5D0D13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90738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2D29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" Type="http://schemas.openxmlformats.org/officeDocument/2006/relationships/hyperlink" Target="mailto:alexandergordeev@yandex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ЭЛЕКТРИЧЕСКАЯ НЕКВАЗИНЕЙТРАЛЬНОСТЬ РАЗРУШАЕТ СИММЕТРИЮ ВСЕЛЕННОЙ ПРИ ФАЗОВОМ ВЗРЫВЕ</dc:title>
  <dc:creator>sato</dc:creator>
  <cp:lastModifiedBy>Сатунин</cp:lastModifiedBy>
  <cp:revision>1</cp:revision>
  <cp:lastPrinted>1601-01-01T00:00:00Z</cp:lastPrinted>
  <dcterms:created xsi:type="dcterms:W3CDTF">2019-02-04T10:29:00Z</dcterms:created>
  <dcterms:modified xsi:type="dcterms:W3CDTF">2019-02-04T10:31:00Z</dcterms:modified>
</cp:coreProperties>
</file>