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B63" w:rsidRPr="005B408E" w:rsidRDefault="00920B63" w:rsidP="00920B63">
      <w:pPr>
        <w:pStyle w:val="Zv-Titlereport"/>
        <w:rPr>
          <w:szCs w:val="24"/>
        </w:rPr>
      </w:pPr>
      <w:bookmarkStart w:id="0" w:name="_GoBack"/>
      <w:bookmarkStart w:id="1" w:name="_Hlk532391205"/>
      <w:bookmarkEnd w:id="0"/>
      <w:r w:rsidRPr="005B408E">
        <w:t xml:space="preserve">Пространственная структура гигантских джетов </w:t>
      </w:r>
    </w:p>
    <w:p w:rsidR="00920B63" w:rsidRPr="005B408E" w:rsidRDefault="00920B63" w:rsidP="00920B63">
      <w:pPr>
        <w:pStyle w:val="Zv-Author"/>
      </w:pPr>
      <w:r w:rsidRPr="005B408E">
        <w:t>Склизков Г.В., Шелоболин А.В.</w:t>
      </w:r>
    </w:p>
    <w:p w:rsidR="00920B63" w:rsidRPr="005B408E" w:rsidRDefault="00920B63" w:rsidP="00920B63">
      <w:pPr>
        <w:pStyle w:val="Zv-Organization"/>
      </w:pPr>
      <w:r w:rsidRPr="005B408E">
        <w:t>Физический институт им. П.Н. Лебедева</w:t>
      </w:r>
      <w:r w:rsidRPr="00137AB7">
        <w:t xml:space="preserve"> </w:t>
      </w:r>
      <w:r w:rsidRPr="005B408E">
        <w:t>Р</w:t>
      </w:r>
      <w:r>
        <w:t>АН, г. Москва, Россия</w:t>
      </w:r>
    </w:p>
    <w:bookmarkEnd w:id="1"/>
    <w:p w:rsidR="00920B63" w:rsidRPr="001B6384" w:rsidRDefault="00920B63" w:rsidP="00920B63">
      <w:pPr>
        <w:pStyle w:val="Zv-bodyreport"/>
      </w:pPr>
      <w:r w:rsidRPr="001B6384">
        <w:t>Под гигантскими голубыми джетами (ГГД) понимаются многоканальные разряды между грозовой тучей и ионосферой, развивающиеся по образующим конуса. [1,</w:t>
      </w:r>
      <w:r>
        <w:rPr>
          <w:lang w:val="en-US"/>
        </w:rPr>
        <w:t> </w:t>
      </w:r>
      <w:r w:rsidRPr="001B6384">
        <w:t>2]. Временное разрешение при регистрации этого явления имеет значение около 17 мс. Диапазон абсолютных высот над уровнем океана составляет от 15 км до 90 км, что отвечает плотности воздуха от 10</w:t>
      </w:r>
      <w:r w:rsidRPr="001B6384">
        <w:rPr>
          <w:vertAlign w:val="superscript"/>
        </w:rPr>
        <w:t>18</w:t>
      </w:r>
      <w:r>
        <w:rPr>
          <w:lang w:val="en-US"/>
        </w:rPr>
        <w:t> </w:t>
      </w:r>
      <w:r w:rsidRPr="0092034E">
        <w:t>–</w:t>
      </w:r>
      <w:r>
        <w:rPr>
          <w:lang w:val="en-US"/>
        </w:rPr>
        <w:t> </w:t>
      </w:r>
      <w:r w:rsidRPr="001B6384">
        <w:t>10</w:t>
      </w:r>
      <w:r w:rsidRPr="001B6384">
        <w:rPr>
          <w:vertAlign w:val="superscript"/>
        </w:rPr>
        <w:t>19</w:t>
      </w:r>
      <w:r w:rsidRPr="0092034E">
        <w:t xml:space="preserve"> </w:t>
      </w:r>
      <w:r>
        <w:t>см</w:t>
      </w:r>
      <w:r>
        <w:rPr>
          <w:vertAlign w:val="superscript"/>
        </w:rPr>
        <w:t>–</w:t>
      </w:r>
      <w:r w:rsidRPr="001B6384">
        <w:rPr>
          <w:vertAlign w:val="superscript"/>
        </w:rPr>
        <w:t>3</w:t>
      </w:r>
      <w:r w:rsidRPr="001B6384">
        <w:t xml:space="preserve"> до  10</w:t>
      </w:r>
      <w:r w:rsidRPr="001B6384">
        <w:rPr>
          <w:vertAlign w:val="superscript"/>
        </w:rPr>
        <w:t>14</w:t>
      </w:r>
      <w:r>
        <w:t xml:space="preserve"> см</w:t>
      </w:r>
      <w:r>
        <w:rPr>
          <w:vertAlign w:val="superscript"/>
        </w:rPr>
        <w:t>–</w:t>
      </w:r>
      <w:r w:rsidRPr="001B6384">
        <w:rPr>
          <w:vertAlign w:val="superscript"/>
        </w:rPr>
        <w:t>3</w:t>
      </w:r>
      <w:r w:rsidRPr="001B6384">
        <w:rPr>
          <w:vertAlign w:val="subscript"/>
        </w:rPr>
        <w:t xml:space="preserve"> </w:t>
      </w:r>
      <w:r w:rsidRPr="001B6384">
        <w:t>и температуре нейтрального</w:t>
      </w:r>
      <w:r w:rsidRPr="001B6384">
        <w:rPr>
          <w:vertAlign w:val="subscript"/>
        </w:rPr>
        <w:t xml:space="preserve"> </w:t>
      </w:r>
      <w:r w:rsidRPr="001B6384">
        <w:t xml:space="preserve">газа в диапазоне 200 – 280 </w:t>
      </w:r>
      <w:r w:rsidRPr="001B6384">
        <w:rPr>
          <w:lang w:val="en-US"/>
        </w:rPr>
        <w:t>K</w:t>
      </w:r>
      <w:r w:rsidRPr="001B6384">
        <w:t>. При наземных измерениях  достигнуто пространственное разрешение ~10</w:t>
      </w:r>
      <w:r>
        <w:t xml:space="preserve"> </w:t>
      </w:r>
      <w:r w:rsidRPr="001B6384">
        <w:t>–</w:t>
      </w:r>
      <w:r>
        <w:t xml:space="preserve"> </w:t>
      </w:r>
      <w:r w:rsidRPr="001B6384">
        <w:t xml:space="preserve">100 м. </w:t>
      </w:r>
    </w:p>
    <w:p w:rsidR="00920B63" w:rsidRDefault="00920B63" w:rsidP="00920B63">
      <w:pPr>
        <w:pStyle w:val="Zv-bodyreport"/>
      </w:pPr>
      <w:r w:rsidRPr="001B6384">
        <w:t xml:space="preserve">Главные задачи, которые следует объяснить при анализе фотографий ГГД, можно разделить на четыре части. </w:t>
      </w:r>
    </w:p>
    <w:p w:rsidR="00920B63" w:rsidRDefault="00920B63" w:rsidP="00920B63">
      <w:pPr>
        <w:pStyle w:val="Zv-bodyreport"/>
        <w:numPr>
          <w:ilvl w:val="0"/>
          <w:numId w:val="9"/>
        </w:numPr>
        <w:ind w:left="709" w:hanging="426"/>
      </w:pPr>
      <w:r w:rsidRPr="001B6384">
        <w:t xml:space="preserve">Почему каналы ГГД располагаются почти эквидистантно по азимуту по образующим конуса? </w:t>
      </w:r>
    </w:p>
    <w:p w:rsidR="00920B63" w:rsidRDefault="00920B63" w:rsidP="00920B63">
      <w:pPr>
        <w:pStyle w:val="Zv-bodyreport"/>
        <w:numPr>
          <w:ilvl w:val="0"/>
          <w:numId w:val="9"/>
        </w:numPr>
        <w:ind w:left="709" w:hanging="426"/>
      </w:pPr>
      <w:r w:rsidRPr="001B6384">
        <w:t xml:space="preserve">Почему ГГД наблюдаются только в экваториальных широтах? </w:t>
      </w:r>
    </w:p>
    <w:p w:rsidR="00920B63" w:rsidRDefault="00920B63" w:rsidP="00920B63">
      <w:pPr>
        <w:pStyle w:val="Zv-bodyreport"/>
        <w:numPr>
          <w:ilvl w:val="0"/>
          <w:numId w:val="9"/>
        </w:numPr>
        <w:ind w:left="709" w:hanging="426"/>
      </w:pPr>
      <w:r w:rsidRPr="001B6384">
        <w:t xml:space="preserve">Почему верхняя граница ГГД не одинакова для [1] и [2]? </w:t>
      </w:r>
    </w:p>
    <w:p w:rsidR="00920B63" w:rsidRDefault="00920B63" w:rsidP="00920B63">
      <w:pPr>
        <w:pStyle w:val="Zv-bodyreport"/>
        <w:numPr>
          <w:ilvl w:val="0"/>
          <w:numId w:val="9"/>
        </w:numPr>
        <w:ind w:left="709" w:hanging="426"/>
      </w:pPr>
      <w:r w:rsidRPr="001B6384">
        <w:t xml:space="preserve">Почему в [1] наблюдается широкий ореол на ионосфере, и каков его физический смысл? </w:t>
      </w:r>
    </w:p>
    <w:p w:rsidR="00920B63" w:rsidRPr="001B6384" w:rsidRDefault="00920B63" w:rsidP="00920B63">
      <w:pPr>
        <w:pStyle w:val="Zv-bodyreport"/>
      </w:pPr>
      <w:r w:rsidRPr="001B6384">
        <w:t xml:space="preserve">Первую из этих задач следует считать главной, поскольку она принципиально выделяет ГГД из всех волн ЭПГ. Азимутальная эквидистантность каналов ГГД не может быть объяснена на базе традиционной теории </w:t>
      </w:r>
      <w:r>
        <w:t>электрического пробоя газов</w:t>
      </w:r>
      <w:r w:rsidRPr="001B6384">
        <w:t>, рассматривающей любую из его волн  как фронтальную волну ионизации.</w:t>
      </w:r>
      <w:r w:rsidRPr="001B6384">
        <w:rPr>
          <w:vanish/>
        </w:rPr>
        <w:t>дачами, которые необходимо решить. разрешение порядка 1 м.</w:t>
      </w:r>
      <w:r w:rsidRPr="001B6384">
        <w:rPr>
          <w:vanish/>
        </w:rPr>
        <w:pgNum/>
      </w:r>
      <w:r w:rsidRPr="001B6384">
        <w:t xml:space="preserve"> В [3] была предложена нелинейная плазменно-волноводная модель (НПВМ). Одно из ее положений предполагает, что на предварительном этапе в объеме нейтрального газа или слабоионизованной плазмы должны быть сформированы цилиндрические области повышенной ионизации, плазменные волноводы. Постановка задачи ГГД предполагает:</w:t>
      </w:r>
    </w:p>
    <w:p w:rsidR="00920B63" w:rsidRPr="00C2127B" w:rsidRDefault="00920B63" w:rsidP="00920B63">
      <w:pPr>
        <w:pStyle w:val="Zv-bodyreport"/>
        <w:numPr>
          <w:ilvl w:val="0"/>
          <w:numId w:val="11"/>
        </w:numPr>
        <w:ind w:left="709" w:hanging="460"/>
      </w:pPr>
      <w:r w:rsidRPr="001B6384">
        <w:t xml:space="preserve">Над граничном участком грозового облака, имеющего форму круга диаметром,  близким к </w:t>
      </w:r>
      <w:r w:rsidRPr="001B6384">
        <w:rPr>
          <w:lang w:val="en-US"/>
        </w:rPr>
        <w:t>D</w:t>
      </w:r>
      <w:r>
        <w:t> </w:t>
      </w:r>
      <w:r w:rsidRPr="001B6384">
        <w:t>=</w:t>
      </w:r>
      <w:r>
        <w:t> </w:t>
      </w:r>
      <w:r w:rsidRPr="001B6384">
        <w:t>50 км, формируется изгиб поверхности ионизации ионосферы. Источником  такого изгиба является излучение генератора океан-туча, работающем в режиме свободной генерации на минимальной частоте радиоизмерений ионосферы ν</w:t>
      </w:r>
      <w:r>
        <w:rPr>
          <w:lang w:val="fr-FR"/>
        </w:rPr>
        <w:t> </w:t>
      </w:r>
      <w:r w:rsidRPr="001B6384">
        <w:t>=</w:t>
      </w:r>
      <w:r>
        <w:rPr>
          <w:lang w:val="fr-FR"/>
        </w:rPr>
        <w:t> </w:t>
      </w:r>
      <w:r w:rsidRPr="001B6384">
        <w:t>1</w:t>
      </w:r>
      <w:r>
        <w:rPr>
          <w:lang w:val="fr-FR"/>
        </w:rPr>
        <w:t> </w:t>
      </w:r>
      <w:r w:rsidRPr="001B6384">
        <w:t xml:space="preserve">МГц, соответствующей граничной плотности ионизации </w:t>
      </w:r>
      <w:r w:rsidRPr="001B6384">
        <w:rPr>
          <w:lang w:val="en-US"/>
        </w:rPr>
        <w:t>D</w:t>
      </w:r>
      <w:r w:rsidRPr="001B6384">
        <w:t>-слоя ионосферы 10</w:t>
      </w:r>
      <w:r w:rsidRPr="001B6384">
        <w:rPr>
          <w:vertAlign w:val="superscript"/>
        </w:rPr>
        <w:t>4</w:t>
      </w:r>
      <w:r>
        <w:rPr>
          <w:lang w:val="fr-FR"/>
        </w:rPr>
        <w:t> </w:t>
      </w:r>
      <w:r>
        <w:t>с</w:t>
      </w:r>
      <w:r w:rsidRPr="001B6384">
        <w:t>м</w:t>
      </w:r>
      <w:r>
        <w:rPr>
          <w:vertAlign w:val="superscript"/>
        </w:rPr>
        <w:t>–</w:t>
      </w:r>
      <w:r w:rsidRPr="001B6384">
        <w:rPr>
          <w:vertAlign w:val="superscript"/>
        </w:rPr>
        <w:t>3</w:t>
      </w:r>
      <w:r w:rsidRPr="001B6384">
        <w:t xml:space="preserve">. Грозовое облако является полупрозрачным зеркалом. </w:t>
      </w:r>
    </w:p>
    <w:p w:rsidR="00920B63" w:rsidRPr="001B6384" w:rsidRDefault="00920B63" w:rsidP="00920B63">
      <w:pPr>
        <w:pStyle w:val="Zv-bodyreport"/>
        <w:numPr>
          <w:ilvl w:val="0"/>
          <w:numId w:val="11"/>
        </w:numPr>
        <w:ind w:left="709" w:hanging="460"/>
      </w:pPr>
      <w:r w:rsidRPr="001B6384">
        <w:t>Вогнутая поверхность ионизации ионосферы и плоская поверхность грозового облака образуют полусферический резонатор, в котором образуются плазменные волноводы.</w:t>
      </w:r>
    </w:p>
    <w:p w:rsidR="00920B63" w:rsidRPr="001B6384" w:rsidRDefault="00920B63" w:rsidP="00920B63">
      <w:pPr>
        <w:pStyle w:val="Zv-bodyreport"/>
        <w:numPr>
          <w:ilvl w:val="0"/>
          <w:numId w:val="11"/>
        </w:numPr>
        <w:ind w:left="709" w:hanging="460"/>
      </w:pPr>
      <w:r w:rsidRPr="001B6384">
        <w:t>В качестве излучения генератора возможно лишь тормозное излучение электронов, которое инициируется сдвигом их функции распределения по кинетической энергии во внешнем поле.</w:t>
      </w:r>
    </w:p>
    <w:p w:rsidR="00920B63" w:rsidRPr="001B6384" w:rsidRDefault="00920B63" w:rsidP="00920B63">
      <w:pPr>
        <w:pStyle w:val="Zv-bodyreport"/>
      </w:pPr>
      <w:r w:rsidRPr="001B6384">
        <w:t>Указанные положения доказываются на базе теории открытых резонаторов [4] и дают удовлетворительное совпадение с экспериментом. Кроме того, оценивается порог генерации через плотность электронов в атмосфере не выше 10</w:t>
      </w:r>
      <w:r w:rsidRPr="001B6384">
        <w:rPr>
          <w:vertAlign w:val="superscript"/>
        </w:rPr>
        <w:t>8</w:t>
      </w:r>
      <w:r>
        <w:rPr>
          <w:vertAlign w:val="superscript"/>
          <w:lang w:val="en-US"/>
        </w:rPr>
        <w:t> </w:t>
      </w:r>
      <w:r w:rsidRPr="001B6384">
        <w:t>см</w:t>
      </w:r>
      <w:r w:rsidRPr="00F3617A">
        <w:rPr>
          <w:vertAlign w:val="superscript"/>
        </w:rPr>
        <w:t>–3</w:t>
      </w:r>
      <w:r w:rsidRPr="001B6384">
        <w:t>, а необходимая плотность внутрирезонаторного излучения на уровне 10</w:t>
      </w:r>
      <w:r w:rsidRPr="00F3617A">
        <w:rPr>
          <w:vertAlign w:val="superscript"/>
        </w:rPr>
        <w:t>–</w:t>
      </w:r>
      <w:r w:rsidRPr="001B6384">
        <w:rPr>
          <w:vertAlign w:val="superscript"/>
        </w:rPr>
        <w:t>6</w:t>
      </w:r>
      <w:r>
        <w:rPr>
          <w:lang w:val="en-US"/>
        </w:rPr>
        <w:t> </w:t>
      </w:r>
      <w:r w:rsidRPr="00F3617A">
        <w:t>–</w:t>
      </w:r>
      <w:r>
        <w:rPr>
          <w:lang w:val="en-US"/>
        </w:rPr>
        <w:t> </w:t>
      </w:r>
      <w:r w:rsidRPr="001B6384">
        <w:t>10</w:t>
      </w:r>
      <w:r w:rsidRPr="00F3617A">
        <w:rPr>
          <w:vertAlign w:val="superscript"/>
        </w:rPr>
        <w:t>–</w:t>
      </w:r>
      <w:r w:rsidRPr="001B6384">
        <w:rPr>
          <w:vertAlign w:val="superscript"/>
        </w:rPr>
        <w:t>5</w:t>
      </w:r>
      <w:r w:rsidRPr="001B6384">
        <w:t>Вт/</w:t>
      </w:r>
      <w:r w:rsidRPr="001B6384">
        <w:rPr>
          <w:lang w:val="en-US"/>
        </w:rPr>
        <w:t>c</w:t>
      </w:r>
      <w:r w:rsidRPr="001B6384">
        <w:t>м</w:t>
      </w:r>
      <w:r w:rsidRPr="001B6384">
        <w:rPr>
          <w:vertAlign w:val="superscript"/>
        </w:rPr>
        <w:t>2</w:t>
      </w:r>
      <w:r w:rsidRPr="001B6384">
        <w:t xml:space="preserve">.  </w:t>
      </w:r>
    </w:p>
    <w:p w:rsidR="00920B63" w:rsidRPr="0092034E" w:rsidRDefault="00920B63" w:rsidP="00920B63">
      <w:pPr>
        <w:pStyle w:val="Zv-TitleReferences-ru"/>
        <w:rPr>
          <w:lang w:val="en-US"/>
        </w:rPr>
      </w:pPr>
      <w:r>
        <w:t>Литература</w:t>
      </w:r>
    </w:p>
    <w:p w:rsidR="00920B63" w:rsidRPr="00C2127B" w:rsidRDefault="00920B63" w:rsidP="00920B63">
      <w:pPr>
        <w:pStyle w:val="Zv-References-ru"/>
        <w:numPr>
          <w:ilvl w:val="0"/>
          <w:numId w:val="1"/>
        </w:numPr>
        <w:rPr>
          <w:lang w:val="en-US"/>
        </w:rPr>
      </w:pPr>
      <w:r w:rsidRPr="001B6384">
        <w:rPr>
          <w:lang w:val="nl-NL"/>
        </w:rPr>
        <w:t>Pasco</w:t>
      </w:r>
      <w:r w:rsidRPr="0092034E">
        <w:rPr>
          <w:lang w:val="fr-FR"/>
        </w:rPr>
        <w:t xml:space="preserve"> </w:t>
      </w:r>
      <w:r w:rsidRPr="001B6384">
        <w:rPr>
          <w:lang w:val="nl-NL"/>
        </w:rPr>
        <w:t>V</w:t>
      </w:r>
      <w:r w:rsidRPr="0092034E">
        <w:rPr>
          <w:lang w:val="fr-FR"/>
        </w:rPr>
        <w:t>.</w:t>
      </w:r>
      <w:r w:rsidRPr="001B6384">
        <w:rPr>
          <w:lang w:val="nl-NL"/>
        </w:rPr>
        <w:t>P</w:t>
      </w:r>
      <w:r w:rsidRPr="0092034E">
        <w:rPr>
          <w:lang w:val="fr-FR"/>
        </w:rPr>
        <w:t xml:space="preserve">., </w:t>
      </w:r>
      <w:r w:rsidRPr="001B6384">
        <w:rPr>
          <w:lang w:val="nl-NL"/>
        </w:rPr>
        <w:t>et</w:t>
      </w:r>
      <w:r w:rsidRPr="0092034E">
        <w:rPr>
          <w:lang w:val="fr-FR"/>
        </w:rPr>
        <w:t xml:space="preserve">. </w:t>
      </w:r>
      <w:r w:rsidRPr="001B6384">
        <w:rPr>
          <w:lang w:val="nl-NL"/>
        </w:rPr>
        <w:t>al</w:t>
      </w:r>
      <w:r w:rsidRPr="0092034E">
        <w:rPr>
          <w:lang w:val="fr-FR"/>
        </w:rPr>
        <w:t xml:space="preserve">. </w:t>
      </w:r>
      <w:r w:rsidRPr="001B6384">
        <w:rPr>
          <w:lang w:val="fr-FR"/>
        </w:rPr>
        <w:t>Nature</w:t>
      </w:r>
      <w:r w:rsidRPr="00C2127B">
        <w:rPr>
          <w:lang w:val="en-US"/>
        </w:rPr>
        <w:t>, 416, 152</w:t>
      </w:r>
      <w:r>
        <w:rPr>
          <w:lang w:val="en-US"/>
        </w:rPr>
        <w:t xml:space="preserve"> – </w:t>
      </w:r>
      <w:r w:rsidRPr="00C2127B">
        <w:rPr>
          <w:lang w:val="en-US"/>
        </w:rPr>
        <w:t xml:space="preserve">154, (2002) </w:t>
      </w:r>
      <w:r w:rsidRPr="001B6384">
        <w:rPr>
          <w:lang w:val="fr-FR"/>
        </w:rPr>
        <w:t>doi</w:t>
      </w:r>
      <w:r w:rsidRPr="00C2127B">
        <w:rPr>
          <w:lang w:val="en-US"/>
        </w:rPr>
        <w:t>: 10.1038/416152</w:t>
      </w:r>
      <w:r w:rsidRPr="001B6384">
        <w:rPr>
          <w:lang w:val="fr-FR"/>
        </w:rPr>
        <w:t>a</w:t>
      </w:r>
      <w:r w:rsidRPr="00C2127B">
        <w:rPr>
          <w:lang w:val="en-US"/>
        </w:rPr>
        <w:t>.</w:t>
      </w:r>
    </w:p>
    <w:p w:rsidR="00920B63" w:rsidRPr="001B6384" w:rsidRDefault="00920B63" w:rsidP="00920B63">
      <w:pPr>
        <w:pStyle w:val="Zv-References-ru"/>
        <w:numPr>
          <w:ilvl w:val="0"/>
          <w:numId w:val="1"/>
        </w:numPr>
      </w:pPr>
      <w:r w:rsidRPr="001B6384">
        <w:rPr>
          <w:lang w:val="fr-FR"/>
        </w:rPr>
        <w:t xml:space="preserve">H.T. Su, et. al Nature. </w:t>
      </w:r>
      <w:r>
        <w:t>423, 974</w:t>
      </w:r>
      <w:r>
        <w:rPr>
          <w:lang w:val="en-US"/>
        </w:rPr>
        <w:t xml:space="preserve"> – </w:t>
      </w:r>
      <w:r w:rsidRPr="001B6384">
        <w:t xml:space="preserve">976. (2003). </w:t>
      </w:r>
    </w:p>
    <w:p w:rsidR="00920B63" w:rsidRPr="001B6384" w:rsidRDefault="00920B63" w:rsidP="00920B63">
      <w:pPr>
        <w:pStyle w:val="Zv-References-ru"/>
        <w:numPr>
          <w:ilvl w:val="0"/>
          <w:numId w:val="1"/>
        </w:numPr>
      </w:pPr>
      <w:r w:rsidRPr="001B6384">
        <w:t xml:space="preserve">Шелоболин А.В. Инженерная физика. </w:t>
      </w:r>
      <w:r w:rsidRPr="0092034E">
        <w:t>7,</w:t>
      </w:r>
      <w:r w:rsidRPr="001B6384">
        <w:t xml:space="preserve"> 35. (2014)</w:t>
      </w:r>
      <w:r>
        <w:rPr>
          <w:lang w:val="en-US"/>
        </w:rPr>
        <w:t>.</w:t>
      </w:r>
    </w:p>
    <w:p w:rsidR="00920B63" w:rsidRPr="001B6384" w:rsidRDefault="00920B63" w:rsidP="00920B63">
      <w:pPr>
        <w:pStyle w:val="Zv-References-ru"/>
        <w:numPr>
          <w:ilvl w:val="0"/>
          <w:numId w:val="1"/>
        </w:numPr>
      </w:pPr>
      <w:r w:rsidRPr="001B6384">
        <w:t xml:space="preserve">Ананьев Ю.А. Оптические резонаторы и проблема расходимости лазерного излучения. М: «Наука». (1979). </w:t>
      </w:r>
    </w:p>
    <w:sectPr w:rsidR="00920B63" w:rsidRPr="001B638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4EE" w:rsidRDefault="00E344EE">
      <w:r>
        <w:separator/>
      </w:r>
    </w:p>
  </w:endnote>
  <w:endnote w:type="continuationSeparator" w:id="0">
    <w:p w:rsidR="00E344EE" w:rsidRDefault="00E34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49A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949A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B6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4EE" w:rsidRDefault="00E344EE">
      <w:r>
        <w:separator/>
      </w:r>
    </w:p>
  </w:footnote>
  <w:footnote w:type="continuationSeparator" w:id="0">
    <w:p w:rsidR="00E344EE" w:rsidRDefault="00E34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949A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38E1"/>
    <w:multiLevelType w:val="hybridMultilevel"/>
    <w:tmpl w:val="750CCA78"/>
    <w:lvl w:ilvl="0" w:tplc="8AB00A5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85CCD"/>
    <w:multiLevelType w:val="hybridMultilevel"/>
    <w:tmpl w:val="E04685CA"/>
    <w:lvl w:ilvl="0" w:tplc="03B81940">
      <w:start w:val="1"/>
      <w:numFmt w:val="decimal"/>
      <w:lvlText w:val="%1)"/>
      <w:lvlJc w:val="left"/>
      <w:pPr>
        <w:ind w:left="1944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BA5BD0"/>
    <w:multiLevelType w:val="hybridMultilevel"/>
    <w:tmpl w:val="FCEEF010"/>
    <w:lvl w:ilvl="0" w:tplc="03B81940">
      <w:start w:val="1"/>
      <w:numFmt w:val="decimal"/>
      <w:lvlText w:val="%1)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6A748AF"/>
    <w:multiLevelType w:val="hybridMultilevel"/>
    <w:tmpl w:val="61E4C5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344E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49AA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20B63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344E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ПРОСТРАНСТВЕННАЯ СТРУКТУРА ГИГАНТСКИХ ДЖЕТОВ</dc:title>
  <dc:creator>sato</dc:creator>
  <cp:lastModifiedBy>Сатунин</cp:lastModifiedBy>
  <cp:revision>1</cp:revision>
  <cp:lastPrinted>1601-01-01T00:00:00Z</cp:lastPrinted>
  <dcterms:created xsi:type="dcterms:W3CDTF">2019-02-02T12:01:00Z</dcterms:created>
  <dcterms:modified xsi:type="dcterms:W3CDTF">2019-02-02T12:06:00Z</dcterms:modified>
</cp:coreProperties>
</file>