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57" w:rsidRDefault="00F46557" w:rsidP="00F46557">
      <w:pPr>
        <w:pStyle w:val="Zv-Titlereport"/>
      </w:pPr>
      <w:r>
        <w:t>томсоновское рассеяние в неоднородной плазме</w:t>
      </w:r>
    </w:p>
    <w:p w:rsidR="00F46557" w:rsidRDefault="00F46557" w:rsidP="00F46557">
      <w:pPr>
        <w:pStyle w:val="Zv-Author"/>
      </w:pPr>
      <w:r>
        <w:t>Белый В.В.</w:t>
      </w:r>
    </w:p>
    <w:p w:rsidR="00F46557" w:rsidRPr="00DE2A5C" w:rsidRDefault="00F46557" w:rsidP="00F46557">
      <w:pPr>
        <w:pStyle w:val="Zv-Organization"/>
      </w:pPr>
      <w:r w:rsidRPr="00803779">
        <w:rPr>
          <w:szCs w:val="24"/>
        </w:rPr>
        <w:t xml:space="preserve">Институт </w:t>
      </w:r>
      <w:r>
        <w:rPr>
          <w:szCs w:val="24"/>
        </w:rPr>
        <w:t>з</w:t>
      </w:r>
      <w:r w:rsidRPr="00803779">
        <w:rPr>
          <w:szCs w:val="24"/>
        </w:rPr>
        <w:t>емного магнетизма, ионосферы и распространения радиоволн им.</w:t>
      </w:r>
      <w:r w:rsidR="00DE2A5C">
        <w:rPr>
          <w:szCs w:val="24"/>
          <w:lang w:val="en-US"/>
        </w:rPr>
        <w:t> </w:t>
      </w:r>
      <w:r w:rsidRPr="00BE4AEA">
        <w:rPr>
          <w:szCs w:val="24"/>
        </w:rPr>
        <w:t>Н.В.</w:t>
      </w:r>
      <w:r w:rsidR="00DE2A5C">
        <w:rPr>
          <w:szCs w:val="24"/>
          <w:lang w:val="en-US"/>
        </w:rPr>
        <w:t> </w:t>
      </w:r>
      <w:r w:rsidRPr="00BE4AEA">
        <w:rPr>
          <w:szCs w:val="24"/>
        </w:rPr>
        <w:t>Пушкова</w:t>
      </w:r>
      <w:r w:rsidRPr="00803779">
        <w:rPr>
          <w:szCs w:val="24"/>
          <w:lang w:val="en-US"/>
        </w:rPr>
        <w:t> </w:t>
      </w:r>
      <w:r w:rsidRPr="00BE4AEA">
        <w:rPr>
          <w:szCs w:val="24"/>
        </w:rPr>
        <w:t xml:space="preserve"> </w:t>
      </w:r>
      <w:r>
        <w:rPr>
          <w:szCs w:val="24"/>
        </w:rPr>
        <w:t>РАН</w:t>
      </w:r>
      <w:r w:rsidRPr="00BE4AEA">
        <w:rPr>
          <w:szCs w:val="24"/>
        </w:rPr>
        <w:t xml:space="preserve">, </w:t>
      </w:r>
      <w:r>
        <w:rPr>
          <w:szCs w:val="24"/>
        </w:rPr>
        <w:t>г.</w:t>
      </w:r>
      <w:r w:rsidRPr="00BE4AEA">
        <w:rPr>
          <w:szCs w:val="24"/>
        </w:rPr>
        <w:t xml:space="preserve"> </w:t>
      </w:r>
      <w:r>
        <w:rPr>
          <w:szCs w:val="24"/>
        </w:rPr>
        <w:t>Троицк</w:t>
      </w:r>
      <w:r w:rsidRPr="00BE4AEA">
        <w:rPr>
          <w:szCs w:val="24"/>
        </w:rPr>
        <w:t xml:space="preserve">, </w:t>
      </w:r>
      <w:r>
        <w:rPr>
          <w:szCs w:val="24"/>
        </w:rPr>
        <w:t>г</w:t>
      </w:r>
      <w:r w:rsidRPr="00BE4AEA">
        <w:rPr>
          <w:szCs w:val="24"/>
        </w:rPr>
        <w:t xml:space="preserve">. </w:t>
      </w:r>
      <w:r>
        <w:rPr>
          <w:szCs w:val="24"/>
        </w:rPr>
        <w:t>Москва</w:t>
      </w:r>
      <w:r w:rsidRPr="00BE4AEA">
        <w:rPr>
          <w:szCs w:val="24"/>
        </w:rPr>
        <w:t xml:space="preserve">, </w:t>
      </w:r>
      <w:r>
        <w:rPr>
          <w:szCs w:val="24"/>
        </w:rPr>
        <w:t>Россия</w:t>
      </w:r>
      <w:r w:rsidRPr="00BB1F5A">
        <w:t>,</w:t>
      </w:r>
      <w:r w:rsidRPr="00146C4C">
        <w:t xml:space="preserve"> </w:t>
      </w:r>
      <w:hyperlink r:id="rId7" w:history="1">
        <w:r w:rsidR="00DE2A5C" w:rsidRPr="00850C5B">
          <w:rPr>
            <w:rStyle w:val="a7"/>
            <w:lang w:val="en-US"/>
          </w:rPr>
          <w:t>sbelyi</w:t>
        </w:r>
        <w:r w:rsidR="00DE2A5C" w:rsidRPr="00850C5B">
          <w:rPr>
            <w:rStyle w:val="a7"/>
          </w:rPr>
          <w:t>@</w:t>
        </w:r>
        <w:r w:rsidR="00DE2A5C" w:rsidRPr="00850C5B">
          <w:rPr>
            <w:rStyle w:val="a7"/>
            <w:lang w:val="en-US"/>
          </w:rPr>
          <w:t>izmiran</w:t>
        </w:r>
        <w:r w:rsidR="00DE2A5C" w:rsidRPr="00850C5B">
          <w:rPr>
            <w:rStyle w:val="a7"/>
          </w:rPr>
          <w:t>.</w:t>
        </w:r>
        <w:r w:rsidR="00DE2A5C" w:rsidRPr="00850C5B">
          <w:rPr>
            <w:rStyle w:val="a7"/>
            <w:lang w:val="en-US"/>
          </w:rPr>
          <w:t>ru</w:t>
        </w:r>
      </w:hyperlink>
    </w:p>
    <w:p w:rsidR="00F46557" w:rsidRPr="00C075A6" w:rsidRDefault="00F46557" w:rsidP="00F46557">
      <w:pPr>
        <w:pStyle w:val="Zv-bodyreport"/>
      </w:pPr>
      <w:r w:rsidRPr="00C075A6">
        <w:t>Одним из основных методов диа</w:t>
      </w:r>
      <w:r>
        <w:t>гностики плазмы является метод т</w:t>
      </w:r>
      <w:r w:rsidRPr="00C075A6">
        <w:t xml:space="preserve">омсоновского рассеяния. Он успешно используется в широком диапазоне частот: СВЧ (при изучении ионосферной плазмы), лазерного излучения (лабораторной плазмы, в частности в ТОКАМАКАХ), рентгеновского излучения (в исследованиях сильно плотной плазмы). Дифференциальное сечение рассеяния определяется электронным </w:t>
      </w:r>
      <w:r w:rsidRPr="00F46557">
        <w:t xml:space="preserve"> </w:t>
      </w:r>
      <w:r w:rsidRPr="00C075A6">
        <w:t xml:space="preserve">форм-фактором </w:t>
      </w:r>
      <w:r w:rsidRPr="00C075A6">
        <w:rPr>
          <w:position w:val="-12"/>
        </w:rPr>
        <w:object w:dxaOrig="10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18.75pt" o:ole="">
            <v:imagedata r:id="rId8" o:title=""/>
          </v:shape>
          <o:OLEObject Type="Embed" ProgID="Equation.3" ShapeID="_x0000_i1025" DrawAspect="Content" ObjectID="_1610562636" r:id="rId9"/>
        </w:object>
      </w:r>
      <w:r w:rsidRPr="001305C0">
        <w:t>.</w:t>
      </w:r>
      <w:r w:rsidRPr="00C075A6">
        <w:t xml:space="preserve"> Спектры рассеяния несут информацию о плотности плазмы, её темп</w:t>
      </w:r>
      <w:r>
        <w:t xml:space="preserve">ературе, ионном составе и т.д. </w:t>
      </w:r>
      <w:r w:rsidRPr="00C075A6">
        <w:t>В состоянии термодинамического равновесия их спектральные характеристики определяются флуктуационно-диссипационой теоремой. Неоднородности в пространстве и во времени должны определенным образом влиять на спектры флуктуаций. Нами построена  кинетическая теория Томсоновского рассеяния электромагнитных волн в неоднородной плазме [1, 2]. Мы показали, что не только диссипация (</w:t>
      </w:r>
      <w:r w:rsidRPr="00C075A6">
        <w:rPr>
          <w:position w:val="-14"/>
        </w:rPr>
        <w:object w:dxaOrig="680" w:dyaOrig="400">
          <v:shape id="_x0000_i1026" type="#_x0000_t75" style="width:33.75pt;height:20.25pt" o:ole="">
            <v:imagedata r:id="rId10" o:title=""/>
          </v:shape>
          <o:OLEObject Type="Embed" ProgID="Equation.3" ShapeID="_x0000_i1026" DrawAspect="Content" ObjectID="_1610562637" r:id="rId11"/>
        </w:object>
      </w:r>
      <w:r>
        <w:t>), но и</w:t>
      </w:r>
      <w:r w:rsidRPr="00C075A6">
        <w:t xml:space="preserve"> дисперсионные вклады определяют амплиту</w:t>
      </w:r>
      <w:r>
        <w:t>ду и ширины спектральной линии т</w:t>
      </w:r>
      <w:r w:rsidRPr="00C075A6">
        <w:t>омсоновского рассеяния. В случае, когда параметры плазмы однородны в пространстве, но меняются во времени, нестационарная поправка в ширину спектральной линии остается симметричной по отношению к смене знака частоты ω. Однако, если параметры плазмы меняются в простр</w:t>
      </w:r>
      <w:r>
        <w:t>анстве, эта симметрия исчезает. В</w:t>
      </w:r>
      <w:r w:rsidRPr="00C075A6">
        <w:t xml:space="preserve">клад пространственной производной в выражение для ширины спектральной линии является нечетной функцией частоты. В пространственно однородной плазме нет отличия между спектральными свойствами электростатических флуктуаций и </w:t>
      </w:r>
      <w:r>
        <w:t>флуктуаций плотности электронов</w:t>
      </w:r>
      <w:r w:rsidRPr="00C075A6">
        <w:t>. Но это не так для пространственно неоднородно</w:t>
      </w:r>
      <w:r>
        <w:t>й плазмы: электростатические флуктуации и флуктуации</w:t>
      </w:r>
      <w:r w:rsidRPr="00C075A6">
        <w:t xml:space="preserve"> плотности электронов</w:t>
      </w:r>
      <w:r>
        <w:t xml:space="preserve"> связаны нелокальным соотношением. А</w:t>
      </w:r>
      <w:r w:rsidRPr="00C075A6">
        <w:t>симметрия спектральных линий присутствует как для электронного форм-фактора так и для электростатического поля, но этот эффект более существенен для форм-фактора.</w:t>
      </w:r>
    </w:p>
    <w:p w:rsidR="00F46557" w:rsidRPr="00C075A6" w:rsidRDefault="00F46557" w:rsidP="00F46557">
      <w:pPr>
        <w:pStyle w:val="Zv-bodyreport"/>
      </w:pPr>
      <w:r w:rsidRPr="00C075A6">
        <w:t xml:space="preserve">Разлагая электронный форм-фактор вблизи плазменного резонанса, имеем [2] </w:t>
      </w:r>
    </w:p>
    <w:p w:rsidR="00F46557" w:rsidRPr="00C075A6" w:rsidRDefault="00F46557" w:rsidP="003A2FDF">
      <w:pPr>
        <w:pStyle w:val="Zv-formula"/>
        <w:tabs>
          <w:tab w:val="clear" w:pos="8820"/>
          <w:tab w:val="left" w:pos="8931"/>
        </w:tabs>
      </w:pPr>
      <w:r w:rsidRPr="00F46557">
        <w:t xml:space="preserve"> </w:t>
      </w:r>
      <w:r>
        <w:rPr>
          <w:lang w:val="en-US"/>
        </w:rPr>
        <w:tab/>
      </w:r>
      <w:r w:rsidRPr="00C075A6">
        <w:rPr>
          <w:position w:val="-30"/>
        </w:rPr>
        <w:object w:dxaOrig="4700" w:dyaOrig="720">
          <v:shape id="_x0000_i1027" type="#_x0000_t75" style="width:223.5pt;height:34.5pt" o:ole="">
            <v:imagedata r:id="rId12" o:title=""/>
          </v:shape>
          <o:OLEObject Type="Embed" ProgID="Equation.3" ShapeID="_x0000_i1027" DrawAspect="Content" ObjectID="_1610562638" r:id="rId13"/>
        </w:object>
      </w:r>
      <w:r w:rsidRPr="00C075A6">
        <w:tab/>
        <w:t>(1)</w:t>
      </w:r>
    </w:p>
    <w:p w:rsidR="00F46557" w:rsidRPr="00C075A6" w:rsidRDefault="00F46557" w:rsidP="00DE2A5C">
      <w:pPr>
        <w:pStyle w:val="Zv-bodyreportcont"/>
        <w:spacing w:before="120"/>
      </w:pPr>
      <w:r w:rsidRPr="00C075A6">
        <w:t xml:space="preserve">где полуширина </w:t>
      </w:r>
      <w:r>
        <w:t xml:space="preserve">ленгмюровской </w:t>
      </w:r>
      <w:r w:rsidRPr="00C075A6">
        <w:t>линии</w:t>
      </w:r>
      <w:r>
        <w:t xml:space="preserve"> </w:t>
      </w:r>
      <w:r w:rsidRPr="00C075A6">
        <w:t>в стационарном случае  имеет вид:</w:t>
      </w:r>
    </w:p>
    <w:p w:rsidR="003A2FDF" w:rsidRPr="00C075A6" w:rsidRDefault="003A2FDF" w:rsidP="00DE2A5C">
      <w:pPr>
        <w:pStyle w:val="BodyL"/>
        <w:tabs>
          <w:tab w:val="center" w:pos="3969"/>
          <w:tab w:val="left" w:pos="8931"/>
        </w:tabs>
        <w:ind w:firstLine="720"/>
        <w:jc w:val="left"/>
        <w:rPr>
          <w:szCs w:val="24"/>
        </w:rPr>
      </w:pPr>
      <w:r w:rsidRPr="003A2FDF">
        <w:rPr>
          <w:szCs w:val="24"/>
        </w:rPr>
        <w:t xml:space="preserve"> </w:t>
      </w:r>
      <w:r w:rsidRPr="003A2FDF">
        <w:rPr>
          <w:szCs w:val="24"/>
        </w:rPr>
        <w:tab/>
      </w:r>
      <w:r w:rsidRPr="00C075A6">
        <w:rPr>
          <w:position w:val="-32"/>
          <w:szCs w:val="24"/>
        </w:rPr>
        <w:object w:dxaOrig="3900" w:dyaOrig="760">
          <v:shape id="_x0000_i1032" type="#_x0000_t75" style="width:192.75pt;height:36pt" o:ole="">
            <v:imagedata r:id="rId14" o:title=""/>
          </v:shape>
          <o:OLEObject Type="Embed" ProgID="Equation.3" ShapeID="_x0000_i1032" DrawAspect="Content" ObjectID="_1610562639" r:id="rId15"/>
        </w:object>
      </w:r>
      <w:r>
        <w:rPr>
          <w:szCs w:val="24"/>
        </w:rPr>
        <w:tab/>
        <w:t>(2</w:t>
      </w:r>
      <w:r w:rsidRPr="00C075A6">
        <w:rPr>
          <w:szCs w:val="24"/>
        </w:rPr>
        <w:t>)</w:t>
      </w:r>
    </w:p>
    <w:p w:rsidR="00F46557" w:rsidRPr="00C075A6" w:rsidRDefault="00F46557" w:rsidP="00DE2A5C">
      <w:pPr>
        <w:pStyle w:val="Zv-bodyreportcont"/>
        <w:spacing w:after="120"/>
      </w:pPr>
      <w:r>
        <w:t>Отсюда</w:t>
      </w:r>
      <w:r w:rsidRPr="00C075A6">
        <w:t xml:space="preserve"> следует оценка градиента плотности электронов:</w:t>
      </w:r>
    </w:p>
    <w:p w:rsidR="00F46557" w:rsidRPr="00C075A6" w:rsidRDefault="00DE2A5C" w:rsidP="00DE2A5C">
      <w:pPr>
        <w:pStyle w:val="BodyL"/>
        <w:tabs>
          <w:tab w:val="center" w:pos="3969"/>
          <w:tab w:val="left" w:pos="8931"/>
        </w:tabs>
        <w:ind w:firstLine="720"/>
        <w:jc w:val="left"/>
        <w:rPr>
          <w:szCs w:val="24"/>
        </w:rPr>
      </w:pPr>
      <w:r>
        <w:rPr>
          <w:szCs w:val="24"/>
          <w:lang w:val="en-US"/>
        </w:rPr>
        <w:t xml:space="preserve"> </w:t>
      </w:r>
      <w:r w:rsidRPr="00DE2A5C">
        <w:rPr>
          <w:szCs w:val="24"/>
        </w:rPr>
        <w:tab/>
      </w:r>
      <w:r w:rsidR="00F46557" w:rsidRPr="00C075A6">
        <w:rPr>
          <w:position w:val="-30"/>
          <w:szCs w:val="24"/>
        </w:rPr>
        <w:object w:dxaOrig="7078" w:dyaOrig="795">
          <v:shape id="_x0000_i1031" type="#_x0000_t75" style="width:351pt;height:38.25pt" o:ole="">
            <v:imagedata r:id="rId16" o:title=""/>
          </v:shape>
          <o:OLEObject Type="Embed" ProgID="Equation.3" ShapeID="_x0000_i1031" DrawAspect="Content" ObjectID="_1610562640" r:id="rId17"/>
        </w:object>
      </w:r>
      <w:r w:rsidR="00F46557">
        <w:rPr>
          <w:szCs w:val="24"/>
        </w:rPr>
        <w:t>,</w:t>
      </w:r>
      <w:r w:rsidR="00F46557">
        <w:rPr>
          <w:szCs w:val="24"/>
        </w:rPr>
        <w:tab/>
        <w:t>(3)</w:t>
      </w:r>
    </w:p>
    <w:p w:rsidR="00F46557" w:rsidRPr="007712B5" w:rsidRDefault="00F46557" w:rsidP="00F46557">
      <w:pPr>
        <w:pStyle w:val="Zv-bodyreport"/>
        <w:ind w:firstLine="0"/>
        <w:rPr>
          <w:b/>
        </w:rPr>
      </w:pPr>
      <w:r w:rsidRPr="00C075A6">
        <w:t xml:space="preserve">где </w:t>
      </w:r>
      <w:r w:rsidRPr="00C075A6">
        <w:rPr>
          <w:position w:val="-10"/>
        </w:rPr>
        <w:object w:dxaOrig="780" w:dyaOrig="360">
          <v:shape id="_x0000_i1028" type="#_x0000_t75" style="width:36pt;height:18pt" o:ole="">
            <v:imagedata r:id="rId18" o:title=""/>
          </v:shape>
          <o:OLEObject Type="Embed" ProgID="Equation.3" ShapeID="_x0000_i1028" DrawAspect="Content" ObjectID="_1610562641" r:id="rId19"/>
        </w:object>
      </w:r>
      <w:r w:rsidRPr="00C075A6">
        <w:t xml:space="preserve"> и </w:t>
      </w:r>
      <w:r w:rsidRPr="00C075A6">
        <w:rPr>
          <w:position w:val="-10"/>
        </w:rPr>
        <w:object w:dxaOrig="320" w:dyaOrig="360">
          <v:shape id="_x0000_i1029" type="#_x0000_t75" style="width:15.75pt;height:18pt" o:ole="">
            <v:imagedata r:id="rId20" o:title=""/>
          </v:shape>
          <o:OLEObject Type="Embed" ProgID="Equation.3" ShapeID="_x0000_i1029" DrawAspect="Content" ObjectID="_1610562642" r:id="rId21"/>
        </w:object>
      </w:r>
      <w:r w:rsidRPr="00C075A6">
        <w:t xml:space="preserve">, </w:t>
      </w:r>
      <w:r w:rsidRPr="00C075A6">
        <w:rPr>
          <w:position w:val="-10"/>
        </w:rPr>
        <w:object w:dxaOrig="320" w:dyaOrig="360">
          <v:shape id="_x0000_i1030" type="#_x0000_t75" style="width:15.75pt;height:18pt" o:ole="">
            <v:imagedata r:id="rId22" o:title=""/>
          </v:shape>
          <o:OLEObject Type="Embed" ProgID="Equation.3" ShapeID="_x0000_i1030" DrawAspect="Content" ObjectID="_1610562643" r:id="rId23"/>
        </w:object>
      </w:r>
      <w:r w:rsidRPr="00C075A6">
        <w:t xml:space="preserve">амплитуды и полуширины красных и синих ленгмюровских сателлитов спектральной функции электронной плотности </w:t>
      </w:r>
      <w:r>
        <w:t>в относительных единицах</w:t>
      </w:r>
      <w:r w:rsidRPr="00C075A6">
        <w:t xml:space="preserve">, параметр Солпитера </w:t>
      </w:r>
      <w:r w:rsidRPr="00C075A6">
        <w:rPr>
          <w:i/>
        </w:rPr>
        <w:t>α</w:t>
      </w:r>
      <w:r w:rsidRPr="00C075A6">
        <w:t>=</w:t>
      </w:r>
      <w:r w:rsidRPr="00C075A6">
        <w:rPr>
          <w:lang w:val="en-US"/>
        </w:rPr>
        <w:t>k</w:t>
      </w:r>
      <w:r w:rsidRPr="00C075A6">
        <w:t>/</w:t>
      </w:r>
      <w:r w:rsidRPr="00C075A6">
        <w:rPr>
          <w:lang w:val="en-US"/>
        </w:rPr>
        <w:t>k</w:t>
      </w:r>
      <w:r w:rsidRPr="00C075A6">
        <w:rPr>
          <w:vertAlign w:val="subscript"/>
          <w:lang w:val="en-US"/>
        </w:rPr>
        <w:t>D</w:t>
      </w:r>
      <w:r w:rsidRPr="00C075A6">
        <w:t>.</w:t>
      </w:r>
      <w:r w:rsidRPr="007712B5">
        <w:rPr>
          <w:sz w:val="22"/>
          <w:szCs w:val="22"/>
        </w:rPr>
        <w:t xml:space="preserve"> </w:t>
      </w:r>
    </w:p>
    <w:p w:rsidR="00F46557" w:rsidRPr="00C075A6" w:rsidRDefault="00F46557" w:rsidP="00F46557">
      <w:pPr>
        <w:pStyle w:val="Zv-TitleReferences-ru"/>
        <w:rPr>
          <w:rStyle w:val="looklikelinkauthornameaqslistener"/>
          <w:lang w:val="en-US"/>
        </w:rPr>
      </w:pPr>
      <w:r>
        <w:t>Литература</w:t>
      </w:r>
    </w:p>
    <w:p w:rsidR="00F46557" w:rsidRPr="00BE4AEA" w:rsidRDefault="00F46557" w:rsidP="00F46557">
      <w:pPr>
        <w:pStyle w:val="Zv-References-ru"/>
        <w:numPr>
          <w:ilvl w:val="0"/>
          <w:numId w:val="1"/>
        </w:numPr>
        <w:rPr>
          <w:lang w:val="en-US"/>
        </w:rPr>
      </w:pPr>
      <w:r w:rsidRPr="008A1DD0">
        <w:rPr>
          <w:lang w:val="en-US"/>
        </w:rPr>
        <w:t>Belyi</w:t>
      </w:r>
      <w:r>
        <w:rPr>
          <w:lang w:val="en-US"/>
        </w:rPr>
        <w:t xml:space="preserve"> </w:t>
      </w:r>
      <w:r w:rsidRPr="008A1DD0">
        <w:rPr>
          <w:lang w:val="en-US"/>
        </w:rPr>
        <w:t>V.V. Phys.Rev</w:t>
      </w:r>
      <w:r>
        <w:rPr>
          <w:lang w:val="en-US"/>
        </w:rPr>
        <w:t xml:space="preserve">. 2018, </w:t>
      </w:r>
      <w:r w:rsidRPr="00BE4AEA">
        <w:rPr>
          <w:lang w:val="en-US"/>
        </w:rPr>
        <w:t>E97, 053204.</w:t>
      </w:r>
    </w:p>
    <w:p w:rsidR="00F46557" w:rsidRPr="008A1DD0" w:rsidRDefault="00F46557" w:rsidP="00F46557">
      <w:pPr>
        <w:pStyle w:val="Zv-References-ru"/>
        <w:numPr>
          <w:ilvl w:val="0"/>
          <w:numId w:val="1"/>
        </w:numPr>
        <w:rPr>
          <w:lang w:val="en-US"/>
        </w:rPr>
      </w:pPr>
      <w:r w:rsidRPr="00BE4AEA">
        <w:rPr>
          <w:lang w:val="en-US"/>
        </w:rPr>
        <w:t>Belyi V.V. Scientific Reports, 2018, 8:7946</w:t>
      </w:r>
      <w:r w:rsidRPr="00F27F35">
        <w:rPr>
          <w:lang w:val="en-US"/>
        </w:rPr>
        <w:t>.</w:t>
      </w:r>
    </w:p>
    <w:sectPr w:rsidR="00F46557" w:rsidRPr="008A1DD0" w:rsidSect="00F95123">
      <w:headerReference w:type="default" r:id="rId24"/>
      <w:footerReference w:type="even" r:id="rId25"/>
      <w:footerReference w:type="default" r:id="rId2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18C" w:rsidRDefault="000C718C">
      <w:r>
        <w:separator/>
      </w:r>
    </w:p>
  </w:endnote>
  <w:endnote w:type="continuationSeparator" w:id="0">
    <w:p w:rsidR="000C718C" w:rsidRDefault="000C7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467C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467C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2A5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18C" w:rsidRDefault="000C718C">
      <w:r>
        <w:separator/>
      </w:r>
    </w:p>
  </w:footnote>
  <w:footnote w:type="continuationSeparator" w:id="0">
    <w:p w:rsidR="000C718C" w:rsidRDefault="000C7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F46557">
      <w:rPr>
        <w:sz w:val="20"/>
      </w:rPr>
      <w:t>18</w:t>
    </w:r>
    <w:r>
      <w:rPr>
        <w:sz w:val="20"/>
      </w:rPr>
      <w:t xml:space="preserve"> – </w:t>
    </w:r>
    <w:r w:rsidR="0094721E" w:rsidRPr="00F46557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C467C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A2FDF"/>
    <w:rsid w:val="00037DCC"/>
    <w:rsid w:val="00043701"/>
    <w:rsid w:val="000C7078"/>
    <w:rsid w:val="000C718C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A2FDF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467C5"/>
    <w:rsid w:val="00CA791E"/>
    <w:rsid w:val="00CE0E75"/>
    <w:rsid w:val="00D47F19"/>
    <w:rsid w:val="00DA4715"/>
    <w:rsid w:val="00DE2A5C"/>
    <w:rsid w:val="00DF1C1D"/>
    <w:rsid w:val="00E1331D"/>
    <w:rsid w:val="00E7021A"/>
    <w:rsid w:val="00E87733"/>
    <w:rsid w:val="00F46557"/>
    <w:rsid w:val="00F74399"/>
    <w:rsid w:val="00F95123"/>
    <w:rsid w:val="00F9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F46557"/>
    <w:rPr>
      <w:color w:val="0000FF" w:themeColor="hyperlink"/>
      <w:u w:val="single"/>
    </w:rPr>
  </w:style>
  <w:style w:type="paragraph" w:customStyle="1" w:styleId="BodyL">
    <w:name w:val="BodyL."/>
    <w:basedOn w:val="a"/>
    <w:uiPriority w:val="99"/>
    <w:rsid w:val="00F46557"/>
    <w:pPr>
      <w:spacing w:line="360" w:lineRule="auto"/>
      <w:ind w:firstLine="567"/>
      <w:jc w:val="both"/>
    </w:pPr>
    <w:rPr>
      <w:szCs w:val="20"/>
      <w:lang w:eastAsia="en-US"/>
    </w:rPr>
  </w:style>
  <w:style w:type="character" w:customStyle="1" w:styleId="looklikelinkauthornameaqslistener">
    <w:name w:val="looklikelink authorname aqslistener"/>
    <w:basedOn w:val="a0"/>
    <w:rsid w:val="00F465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hyperlink" Target="mailto:sbelyi@izmiran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ТОМСОНОВСКОЕ РАССЕЯНИЕ В НЕОДНОРОДНОЙ ПЛАЗМЕ</vt:lpstr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ТОМСОНОВСКОЕ РАССЕЯНИЕ В НЕОДНОРОДНОЙ ПЛАЗМЕ</dc:title>
  <dc:creator>sato</dc:creator>
  <cp:lastModifiedBy>Сатунин</cp:lastModifiedBy>
  <cp:revision>2</cp:revision>
  <cp:lastPrinted>1601-01-01T00:00:00Z</cp:lastPrinted>
  <dcterms:created xsi:type="dcterms:W3CDTF">2019-02-01T18:41:00Z</dcterms:created>
  <dcterms:modified xsi:type="dcterms:W3CDTF">2019-02-01T18:41:00Z</dcterms:modified>
</cp:coreProperties>
</file>