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4D" w:rsidRPr="00614B4D" w:rsidRDefault="00AD0167" w:rsidP="00614B4D">
      <w:pPr>
        <w:pStyle w:val="Zv-Titlereport"/>
        <w:rPr>
          <w:rFonts w:eastAsia="Calibri"/>
          <w:kern w:val="0"/>
          <w:lang w:val="en-US" w:eastAsia="en-US"/>
        </w:rPr>
      </w:pPr>
      <w:r w:rsidRPr="00913D34">
        <w:rPr>
          <w:rFonts w:eastAsia="Calibri"/>
          <w:bCs/>
          <w:lang w:val="en-US"/>
        </w:rPr>
        <w:t>OBSERVATIONS OF PLASMA LENS in DISCHARGE INITIATED BY ELECTRON BEAM</w:t>
      </w:r>
    </w:p>
    <w:p w:rsidR="00614B4D" w:rsidRPr="00614B4D" w:rsidRDefault="00614B4D" w:rsidP="00614B4D">
      <w:pPr>
        <w:pStyle w:val="Zv-Author"/>
        <w:rPr>
          <w:lang w:val="en-US"/>
        </w:rPr>
      </w:pPr>
      <w:bookmarkStart w:id="0" w:name="_Hlk532480201"/>
      <w:r w:rsidRPr="00614B4D">
        <w:rPr>
          <w:vertAlign w:val="superscript"/>
          <w:lang w:val="en-US"/>
        </w:rPr>
        <w:t>1</w:t>
      </w:r>
      <w:bookmarkEnd w:id="0"/>
      <w:r w:rsidRPr="00614B4D">
        <w:rPr>
          <w:lang w:val="en-US"/>
        </w:rPr>
        <w:t>Drozdovsky A.</w:t>
      </w:r>
      <w:r>
        <w:rPr>
          <w:lang w:val="en-US"/>
        </w:rPr>
        <w:t>A</w:t>
      </w:r>
      <w:r w:rsidRPr="00614B4D">
        <w:rPr>
          <w:lang w:val="en-US"/>
        </w:rPr>
        <w:t xml:space="preserve">., </w:t>
      </w:r>
      <w:r w:rsidRPr="00614B4D">
        <w:rPr>
          <w:vertAlign w:val="superscript"/>
          <w:lang w:val="en-US"/>
        </w:rPr>
        <w:t>2</w:t>
      </w:r>
      <w:r w:rsidRPr="00614B4D">
        <w:rPr>
          <w:lang w:val="en-US"/>
        </w:rPr>
        <w:t>Sasorov P.</w:t>
      </w:r>
      <w:r>
        <w:rPr>
          <w:lang w:val="en-US"/>
        </w:rPr>
        <w:t>V</w:t>
      </w:r>
      <w:r w:rsidRPr="00614B4D">
        <w:rPr>
          <w:lang w:val="en-US"/>
        </w:rPr>
        <w:t xml:space="preserve">., </w:t>
      </w:r>
      <w:r w:rsidRPr="00614B4D">
        <w:rPr>
          <w:vertAlign w:val="superscript"/>
          <w:lang w:val="en-US"/>
        </w:rPr>
        <w:t>1</w:t>
      </w:r>
      <w:r w:rsidRPr="00614B4D">
        <w:rPr>
          <w:lang w:val="en-US"/>
        </w:rPr>
        <w:t>Bogdanov A.</w:t>
      </w:r>
      <w:r>
        <w:rPr>
          <w:lang w:val="en-US"/>
        </w:rPr>
        <w:t>V</w:t>
      </w:r>
      <w:r w:rsidRPr="00614B4D">
        <w:rPr>
          <w:lang w:val="en-US"/>
        </w:rPr>
        <w:t xml:space="preserve">., </w:t>
      </w:r>
      <w:r w:rsidRPr="00614B4D">
        <w:rPr>
          <w:vertAlign w:val="superscript"/>
          <w:lang w:val="en-US"/>
        </w:rPr>
        <w:t>1</w:t>
      </w:r>
      <w:r w:rsidRPr="00614B4D">
        <w:rPr>
          <w:lang w:val="en-US"/>
        </w:rPr>
        <w:t>Drozdovsky S.</w:t>
      </w:r>
      <w:r>
        <w:rPr>
          <w:lang w:val="en-US"/>
        </w:rPr>
        <w:t>A</w:t>
      </w:r>
      <w:r w:rsidRPr="00614B4D">
        <w:rPr>
          <w:lang w:val="en-US"/>
        </w:rPr>
        <w:t xml:space="preserve">., </w:t>
      </w:r>
      <w:r w:rsidRPr="00614B4D">
        <w:rPr>
          <w:vertAlign w:val="superscript"/>
          <w:lang w:val="en-US"/>
        </w:rPr>
        <w:t>1</w:t>
      </w:r>
      <w:r w:rsidRPr="00614B4D">
        <w:rPr>
          <w:lang w:val="en-US"/>
        </w:rPr>
        <w:t>Gavrilin R.</w:t>
      </w:r>
      <w:r>
        <w:rPr>
          <w:lang w:val="en-US"/>
        </w:rPr>
        <w:t>O</w:t>
      </w:r>
      <w:r w:rsidRPr="00614B4D">
        <w:rPr>
          <w:lang w:val="en-US"/>
        </w:rPr>
        <w:t xml:space="preserve">., </w:t>
      </w:r>
      <w:r w:rsidRPr="00614B4D">
        <w:rPr>
          <w:vertAlign w:val="superscript"/>
          <w:lang w:val="en-US"/>
        </w:rPr>
        <w:t>1</w:t>
      </w:r>
      <w:r w:rsidRPr="00614B4D">
        <w:rPr>
          <w:lang w:val="en-US"/>
        </w:rPr>
        <w:t>Kantsyrev A.</w:t>
      </w:r>
      <w:r>
        <w:rPr>
          <w:lang w:val="en-US"/>
        </w:rPr>
        <w:t>V</w:t>
      </w:r>
      <w:r w:rsidRPr="00614B4D">
        <w:rPr>
          <w:lang w:val="en-US"/>
        </w:rPr>
        <w:t xml:space="preserve">., </w:t>
      </w:r>
      <w:r w:rsidRPr="00614B4D">
        <w:rPr>
          <w:vertAlign w:val="superscript"/>
          <w:lang w:val="en-US"/>
        </w:rPr>
        <w:t>1</w:t>
      </w:r>
      <w:r w:rsidRPr="00614B4D">
        <w:rPr>
          <w:lang w:val="en-US"/>
        </w:rPr>
        <w:t>Panyushkin V.</w:t>
      </w:r>
      <w:r>
        <w:rPr>
          <w:lang w:val="en-US"/>
        </w:rPr>
        <w:t>A</w:t>
      </w:r>
      <w:r w:rsidRPr="00614B4D">
        <w:rPr>
          <w:lang w:val="en-US"/>
        </w:rPr>
        <w:t xml:space="preserve">., </w:t>
      </w:r>
      <w:r w:rsidRPr="00614B4D">
        <w:rPr>
          <w:vertAlign w:val="superscript"/>
          <w:lang w:val="en-US"/>
        </w:rPr>
        <w:t>1</w:t>
      </w:r>
      <w:r w:rsidRPr="00614B4D">
        <w:rPr>
          <w:lang w:val="en-US"/>
        </w:rPr>
        <w:t>Roudskoy I.</w:t>
      </w:r>
      <w:r>
        <w:rPr>
          <w:lang w:val="en-US"/>
        </w:rPr>
        <w:t>A</w:t>
      </w:r>
      <w:r w:rsidRPr="00614B4D">
        <w:rPr>
          <w:lang w:val="en-US"/>
        </w:rPr>
        <w:t xml:space="preserve">., </w:t>
      </w:r>
      <w:r w:rsidRPr="00614B4D">
        <w:rPr>
          <w:vertAlign w:val="superscript"/>
          <w:lang w:val="en-US"/>
        </w:rPr>
        <w:t>1</w:t>
      </w:r>
      <w:r w:rsidRPr="00614B4D">
        <w:rPr>
          <w:lang w:val="en-US"/>
        </w:rPr>
        <w:t>Savin S.</w:t>
      </w:r>
      <w:r>
        <w:rPr>
          <w:lang w:val="en-US"/>
        </w:rPr>
        <w:t>V</w:t>
      </w:r>
      <w:r w:rsidRPr="00614B4D">
        <w:rPr>
          <w:lang w:val="en-US"/>
        </w:rPr>
        <w:t xml:space="preserve">., </w:t>
      </w:r>
      <w:r w:rsidRPr="00614B4D">
        <w:rPr>
          <w:vertAlign w:val="superscript"/>
          <w:lang w:val="en-US"/>
        </w:rPr>
        <w:t>3</w:t>
      </w:r>
      <w:r w:rsidRPr="00614B4D">
        <w:rPr>
          <w:lang w:val="en-US"/>
        </w:rPr>
        <w:t>Karpov M.</w:t>
      </w:r>
    </w:p>
    <w:p w:rsidR="00614B4D" w:rsidRDefault="00614B4D" w:rsidP="00614B4D">
      <w:pPr>
        <w:pStyle w:val="Zv-Organization"/>
        <w:rPr>
          <w:lang w:val="en-US"/>
        </w:rPr>
      </w:pPr>
      <w:r w:rsidRPr="00ED64E7">
        <w:rPr>
          <w:vertAlign w:val="superscript"/>
          <w:lang w:val="en-US"/>
        </w:rPr>
        <w:t>1</w:t>
      </w:r>
      <w:r w:rsidRPr="00ED64E7">
        <w:rPr>
          <w:lang w:val="en-US"/>
        </w:rPr>
        <w:t xml:space="preserve">NRC «Kurchatov Institute», Moscow, Russia, </w:t>
      </w:r>
      <w:hyperlink r:id="rId7" w:history="1">
        <w:r w:rsidRPr="00ED64E7">
          <w:rPr>
            <w:rStyle w:val="a7"/>
            <w:color w:val="auto"/>
            <w:u w:val="none"/>
            <w:lang w:val="en-US"/>
          </w:rPr>
          <w:t>drozdovsky@mail.ru</w:t>
        </w:r>
      </w:hyperlink>
      <w:r w:rsidRPr="00ED64E7">
        <w:rPr>
          <w:lang w:val="en-US"/>
        </w:rPr>
        <w:br/>
      </w:r>
      <w:r w:rsidRPr="00ED64E7">
        <w:rPr>
          <w:vertAlign w:val="superscript"/>
          <w:lang w:val="en-US"/>
        </w:rPr>
        <w:t>2</w:t>
      </w:r>
      <w:r w:rsidRPr="00ED64E7">
        <w:rPr>
          <w:lang w:val="en-US"/>
        </w:rPr>
        <w:t xml:space="preserve">Keldysh Institute of Applied Mathematics, Moscow, Russia, </w:t>
      </w:r>
      <w:hyperlink r:id="rId8" w:history="1">
        <w:r w:rsidRPr="00692E68">
          <w:rPr>
            <w:rStyle w:val="a7"/>
            <w:lang w:val="en-US"/>
          </w:rPr>
          <w:t>Pavel.Sasorov@gmail.com</w:t>
        </w:r>
      </w:hyperlink>
      <w:r>
        <w:rPr>
          <w:lang w:val="en-US"/>
        </w:rPr>
        <w:br/>
      </w:r>
      <w:r w:rsidRPr="00ED64E7">
        <w:rPr>
          <w:vertAlign w:val="superscript"/>
          <w:lang w:val="en-US"/>
        </w:rPr>
        <w:t>3</w:t>
      </w:r>
      <w:bookmarkStart w:id="1" w:name="_Hlk466986719"/>
      <w:r w:rsidRPr="00390760">
        <w:rPr>
          <w:szCs w:val="24"/>
          <w:lang w:val="en-US"/>
        </w:rPr>
        <w:t>Dukhov All-Russian Research Institute of Automatics, Moscow, Russia</w:t>
      </w:r>
      <w:bookmarkEnd w:id="1"/>
      <w:r w:rsidRPr="00ED64E7">
        <w:rPr>
          <w:lang w:val="en-US"/>
        </w:rPr>
        <w:t>,</w:t>
      </w:r>
      <w:r>
        <w:rPr>
          <w:lang w:val="en-US"/>
        </w:rPr>
        <w:br/>
        <w:t xml:space="preserve">    </w:t>
      </w:r>
      <w:r w:rsidRPr="00ED64E7">
        <w:rPr>
          <w:lang w:val="en-US"/>
        </w:rPr>
        <w:t xml:space="preserve"> </w:t>
      </w:r>
      <w:hyperlink r:id="rId9" w:history="1">
        <w:r w:rsidRPr="00692E68">
          <w:rPr>
            <w:rStyle w:val="a7"/>
            <w:lang w:val="en-US"/>
          </w:rPr>
          <w:t>maksim.karpov@gmail.com</w:t>
        </w:r>
      </w:hyperlink>
    </w:p>
    <w:p w:rsidR="00614B4D" w:rsidRPr="000A0CCC" w:rsidRDefault="00614B4D" w:rsidP="00614B4D">
      <w:pPr>
        <w:pStyle w:val="Zv-bodyreport"/>
        <w:rPr>
          <w:color w:val="000000"/>
          <w:lang w:val="en-US"/>
        </w:rPr>
      </w:pPr>
      <w:r w:rsidRPr="00146EE9">
        <w:rPr>
          <w:lang w:val="en-US"/>
        </w:rPr>
        <w:t>At the present time</w:t>
      </w:r>
      <w:r w:rsidRPr="002C74BC">
        <w:rPr>
          <w:rFonts w:eastAsia="Calibri"/>
          <w:lang w:val="en-US" w:eastAsia="en-US"/>
        </w:rPr>
        <w:t xml:space="preserve">, active work is underway to create compact laser accelerators. In this case, it is important to solve the problems of </w:t>
      </w:r>
      <w:r>
        <w:rPr>
          <w:rFonts w:eastAsia="Calibri"/>
          <w:lang w:val="en-US" w:eastAsia="en-US"/>
        </w:rPr>
        <w:t xml:space="preserve">the </w:t>
      </w:r>
      <w:r w:rsidRPr="002C74BC">
        <w:rPr>
          <w:rFonts w:eastAsia="Calibri"/>
          <w:lang w:val="en-US" w:eastAsia="en-US"/>
        </w:rPr>
        <w:t xml:space="preserve">beams </w:t>
      </w:r>
      <w:r>
        <w:rPr>
          <w:rFonts w:eastAsia="Calibri"/>
          <w:lang w:val="en-US" w:eastAsia="en-US"/>
        </w:rPr>
        <w:t>transportation</w:t>
      </w:r>
      <w:r w:rsidRPr="002C74BC">
        <w:rPr>
          <w:rFonts w:eastAsia="Calibri"/>
          <w:lang w:val="en-US" w:eastAsia="en-US"/>
        </w:rPr>
        <w:t xml:space="preserve"> by plasma lenses, in which the focusing magnetic field is created by a discharge current of the Z-pinch type [1]. For effective focusing it is necessary to investigate under what </w:t>
      </w:r>
      <w:r>
        <w:rPr>
          <w:rFonts w:eastAsia="Calibri"/>
          <w:lang w:val="en-US" w:eastAsia="en-US"/>
        </w:rPr>
        <w:t xml:space="preserve">the </w:t>
      </w:r>
      <w:r w:rsidRPr="002C74BC">
        <w:rPr>
          <w:rFonts w:eastAsia="Calibri"/>
          <w:lang w:val="en-US" w:eastAsia="en-US"/>
        </w:rPr>
        <w:t>breakdown initiation conditions uniform discharge current distribution is formed. In ITE</w:t>
      </w:r>
      <w:r>
        <w:rPr>
          <w:rFonts w:eastAsia="Calibri"/>
          <w:lang w:val="en-US" w:eastAsia="en-US"/>
        </w:rPr>
        <w:t>P</w:t>
      </w:r>
      <w:r w:rsidRPr="002C74BC">
        <w:rPr>
          <w:rFonts w:eastAsia="Calibri"/>
          <w:lang w:val="en-US" w:eastAsia="en-US"/>
        </w:rPr>
        <w:t xml:space="preserve">, the discharge initiated by an electron beam is studied. An experimental setup including an electron beam source with an energy of 250 </w:t>
      </w:r>
      <w:r>
        <w:rPr>
          <w:rFonts w:eastAsia="Calibri"/>
          <w:lang w:val="en-US" w:eastAsia="en-US"/>
        </w:rPr>
        <w:t>k</w:t>
      </w:r>
      <w:r w:rsidRPr="002C74BC">
        <w:rPr>
          <w:rFonts w:eastAsia="Calibri"/>
          <w:lang w:val="en-US" w:eastAsia="en-US"/>
        </w:rPr>
        <w:t>e</w:t>
      </w:r>
      <w:r>
        <w:rPr>
          <w:rFonts w:eastAsia="Calibri"/>
          <w:lang w:val="en-US" w:eastAsia="en-US"/>
        </w:rPr>
        <w:t>V</w:t>
      </w:r>
      <w:r w:rsidRPr="002C74BC">
        <w:rPr>
          <w:rFonts w:eastAsia="Calibri"/>
          <w:lang w:val="en-US" w:eastAsia="en-US"/>
        </w:rPr>
        <w:t xml:space="preserve"> </w:t>
      </w:r>
      <w:r>
        <w:rPr>
          <w:rFonts w:eastAsia="Calibri"/>
          <w:lang w:val="en-US" w:eastAsia="en-US"/>
        </w:rPr>
        <w:t>and</w:t>
      </w:r>
      <w:r w:rsidRPr="002C74BC">
        <w:rPr>
          <w:rFonts w:eastAsia="Calibri"/>
          <w:lang w:val="en-US" w:eastAsia="en-US"/>
        </w:rPr>
        <w:t xml:space="preserve"> a current of up to 100 A is used [2]. The main method of observation of discharge plasma dynamics is registration of own plasma radiation in the visible and ultraviolet range. Studies have shown that the process of development of the discharge initiated by the electron beam is significantly different from the</w:t>
      </w:r>
      <w:r>
        <w:rPr>
          <w:rFonts w:eastAsia="Calibri"/>
          <w:lang w:val="en-US" w:eastAsia="en-US"/>
        </w:rPr>
        <w:t xml:space="preserve"> usual method of formation of Z </w:t>
      </w:r>
      <w:r w:rsidRPr="002C74BC">
        <w:rPr>
          <w:rFonts w:eastAsia="Calibri"/>
          <w:lang w:val="en-US" w:eastAsia="en-US"/>
        </w:rPr>
        <w:t xml:space="preserve">pinch. </w:t>
      </w:r>
      <w:r w:rsidRPr="001E7F88">
        <w:rPr>
          <w:rFonts w:eastAsia="Calibri"/>
          <w:lang w:val="en-US" w:eastAsia="en-US"/>
        </w:rPr>
        <w:t>In the specific case of a discharge in a tube with a radius of 2 cm with a current amplitude of 50 kA, the plasma distribution is uniform in a large time interval, about 0.5 µs, and captures the region of the maximum value of the discharge current.</w:t>
      </w:r>
      <w:r>
        <w:rPr>
          <w:rFonts w:eastAsia="Calibri"/>
          <w:lang w:val="en-US" w:eastAsia="en-US"/>
        </w:rPr>
        <w:t xml:space="preserve"> </w:t>
      </w:r>
      <w:r w:rsidRPr="004E4683">
        <w:rPr>
          <w:rFonts w:eastAsia="Calibri"/>
          <w:lang w:val="en-US" w:eastAsia="en-US"/>
        </w:rPr>
        <w:t xml:space="preserve">This is a necessary condition for creating a plasma lens with linear focusing forces. </w:t>
      </w:r>
      <w:r>
        <w:rPr>
          <w:rFonts w:eastAsia="Calibri"/>
          <w:lang w:val="en-US" w:eastAsia="en-US"/>
        </w:rPr>
        <w:t>T</w:t>
      </w:r>
      <w:r w:rsidRPr="003A3354">
        <w:rPr>
          <w:rFonts w:eastAsia="Calibri"/>
          <w:lang w:val="en-US" w:eastAsia="en-US"/>
        </w:rPr>
        <w:t xml:space="preserve">he following pictures shows how </w:t>
      </w:r>
      <w:r w:rsidRPr="002C74BC">
        <w:rPr>
          <w:rFonts w:eastAsia="Calibri"/>
          <w:lang w:val="en-US" w:eastAsia="en-US"/>
        </w:rPr>
        <w:t>much</w:t>
      </w:r>
      <w:r w:rsidRPr="003A3354">
        <w:rPr>
          <w:rFonts w:eastAsia="Calibri"/>
          <w:lang w:val="en-US" w:eastAsia="en-US"/>
        </w:rPr>
        <w:t xml:space="preserve"> different </w:t>
      </w:r>
      <w:r w:rsidRPr="002C74BC">
        <w:rPr>
          <w:rFonts w:eastAsia="Calibri"/>
          <w:lang w:val="en-US" w:eastAsia="en-US"/>
        </w:rPr>
        <w:t xml:space="preserve">plasma density distribution </w:t>
      </w:r>
      <w:r>
        <w:rPr>
          <w:rFonts w:eastAsia="Calibri"/>
          <w:lang w:val="en-US" w:eastAsia="en-US"/>
        </w:rPr>
        <w:t>for</w:t>
      </w:r>
      <w:r w:rsidRPr="002C74BC">
        <w:rPr>
          <w:rFonts w:eastAsia="Calibri"/>
          <w:lang w:val="en-US" w:eastAsia="en-US"/>
        </w:rPr>
        <w:t xml:space="preserve"> the discharge initiation by an electron beam (Fig. </w:t>
      </w:r>
      <w:r>
        <w:rPr>
          <w:rFonts w:eastAsia="Calibri"/>
          <w:lang w:val="en-US" w:eastAsia="en-US"/>
        </w:rPr>
        <w:t>1</w:t>
      </w:r>
      <w:r w:rsidRPr="002C74BC">
        <w:rPr>
          <w:rFonts w:eastAsia="Calibri"/>
          <w:lang w:val="en-US" w:eastAsia="en-US"/>
        </w:rPr>
        <w:t xml:space="preserve">) </w:t>
      </w:r>
      <w:r>
        <w:rPr>
          <w:rFonts w:eastAsia="Calibri"/>
          <w:lang w:val="en-US" w:eastAsia="en-US"/>
        </w:rPr>
        <w:t>from</w:t>
      </w:r>
      <w:r w:rsidRPr="002C74BC">
        <w:rPr>
          <w:rFonts w:eastAsia="Calibri"/>
          <w:lang w:val="en-US" w:eastAsia="en-US"/>
        </w:rPr>
        <w:t xml:space="preserve"> the usual discharge, well calculated in the MHD approximation </w:t>
      </w:r>
      <w:r>
        <w:rPr>
          <w:rFonts w:eastAsia="Calibri"/>
          <w:lang w:val="en-US" w:eastAsia="en-US"/>
        </w:rPr>
        <w:br/>
      </w:r>
      <w:r w:rsidRPr="002C74BC">
        <w:rPr>
          <w:rFonts w:eastAsia="Calibri"/>
          <w:lang w:val="en-US" w:eastAsia="en-US"/>
        </w:rPr>
        <w:t xml:space="preserve">(Fig. </w:t>
      </w:r>
      <w:r>
        <w:rPr>
          <w:rFonts w:eastAsia="Calibri"/>
          <w:lang w:val="en-US" w:eastAsia="en-US"/>
        </w:rPr>
        <w:t>2</w:t>
      </w:r>
      <w:r w:rsidRPr="002C74BC">
        <w:rPr>
          <w:rFonts w:eastAsia="Calibri"/>
          <w:lang w:val="en-US" w:eastAsia="en-US"/>
        </w:rPr>
        <w:t>).</w:t>
      </w:r>
      <w:r w:rsidRPr="000A0CCC">
        <w:rPr>
          <w:rFonts w:eastAsia="Calibri"/>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5068"/>
      </w:tblGrid>
      <w:tr w:rsidR="00614B4D" w:rsidRPr="002911E0" w:rsidTr="00C214FF">
        <w:tc>
          <w:tcPr>
            <w:tcW w:w="4786" w:type="dxa"/>
            <w:shd w:val="clear" w:color="auto" w:fill="auto"/>
          </w:tcPr>
          <w:p w:rsidR="00614B4D" w:rsidRDefault="00614B4D" w:rsidP="00C214FF">
            <w:pPr>
              <w:rPr>
                <w:rFonts w:ascii="Calibri" w:eastAsia="Calibri" w:hAnsi="Calibri"/>
                <w:sz w:val="22"/>
                <w:szCs w:val="22"/>
                <w:lang w:val="en-US" w:eastAsia="ar-SA"/>
              </w:rPr>
            </w:pPr>
          </w:p>
          <w:p w:rsidR="00614B4D" w:rsidRPr="002911E0" w:rsidRDefault="00614B4D" w:rsidP="00C214FF">
            <w:pPr>
              <w:rPr>
                <w:rFonts w:ascii="Calibri" w:eastAsia="Calibri" w:hAnsi="Calibri"/>
                <w:sz w:val="22"/>
                <w:szCs w:val="22"/>
                <w:lang w:val="en-US" w:eastAsia="ar-SA"/>
              </w:rPr>
            </w:pPr>
            <w:r>
              <w:rPr>
                <w:rFonts w:ascii="Calibri" w:eastAsia="Calibri" w:hAnsi="Calibri"/>
                <w:noProof/>
                <w:sz w:val="22"/>
                <w:szCs w:val="22"/>
              </w:rPr>
              <w:drawing>
                <wp:inline distT="0" distB="0" distL="0" distR="0">
                  <wp:extent cx="2895600" cy="1362075"/>
                  <wp:effectExtent l="19050" t="0" r="0" b="0"/>
                  <wp:docPr id="1" name="Рисунок 1" descr="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1"/>
                          <pic:cNvPicPr>
                            <a:picLocks noChangeAspect="1" noChangeArrowheads="1"/>
                          </pic:cNvPicPr>
                        </pic:nvPicPr>
                        <pic:blipFill>
                          <a:blip r:embed="rId10" cstate="print"/>
                          <a:srcRect/>
                          <a:stretch>
                            <a:fillRect/>
                          </a:stretch>
                        </pic:blipFill>
                        <pic:spPr bwMode="auto">
                          <a:xfrm>
                            <a:off x="0" y="0"/>
                            <a:ext cx="2895600" cy="1362075"/>
                          </a:xfrm>
                          <a:prstGeom prst="rect">
                            <a:avLst/>
                          </a:prstGeom>
                          <a:noFill/>
                          <a:ln w="9525">
                            <a:noFill/>
                            <a:miter lim="800000"/>
                            <a:headEnd/>
                            <a:tailEnd/>
                          </a:ln>
                        </pic:spPr>
                      </pic:pic>
                    </a:graphicData>
                  </a:graphic>
                </wp:inline>
              </w:drawing>
            </w:r>
          </w:p>
        </w:tc>
        <w:tc>
          <w:tcPr>
            <w:tcW w:w="5068" w:type="dxa"/>
            <w:shd w:val="clear" w:color="auto" w:fill="auto"/>
          </w:tcPr>
          <w:p w:rsidR="00614B4D" w:rsidRPr="002911E0" w:rsidRDefault="00614B4D" w:rsidP="00C214FF">
            <w:pPr>
              <w:rPr>
                <w:rFonts w:ascii="Calibri" w:eastAsia="Calibri" w:hAnsi="Calibri"/>
                <w:sz w:val="22"/>
                <w:szCs w:val="22"/>
                <w:lang w:val="en-US" w:eastAsia="ar-SA"/>
              </w:rPr>
            </w:pPr>
            <w:r>
              <w:rPr>
                <w:noProof/>
              </w:rPr>
              <w:drawing>
                <wp:inline distT="0" distB="0" distL="0" distR="0">
                  <wp:extent cx="2914650" cy="1581150"/>
                  <wp:effectExtent l="19050" t="0" r="0" b="0"/>
                  <wp:docPr id="2" name="Рисунок 2" descr="C:\Users\alex\Desktop\Звенигород19\gi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alex\Desktop\Звенигород19\gif1.gif"/>
                          <pic:cNvPicPr>
                            <a:picLocks noChangeAspect="1" noChangeArrowheads="1"/>
                          </pic:cNvPicPr>
                        </pic:nvPicPr>
                        <pic:blipFill>
                          <a:blip r:embed="rId11" cstate="print"/>
                          <a:srcRect/>
                          <a:stretch>
                            <a:fillRect/>
                          </a:stretch>
                        </pic:blipFill>
                        <pic:spPr bwMode="auto">
                          <a:xfrm>
                            <a:off x="0" y="0"/>
                            <a:ext cx="2914650" cy="1581150"/>
                          </a:xfrm>
                          <a:prstGeom prst="rect">
                            <a:avLst/>
                          </a:prstGeom>
                          <a:noFill/>
                          <a:ln w="9525">
                            <a:noFill/>
                            <a:miter lim="800000"/>
                            <a:headEnd/>
                            <a:tailEnd/>
                          </a:ln>
                        </pic:spPr>
                      </pic:pic>
                    </a:graphicData>
                  </a:graphic>
                </wp:inline>
              </w:drawing>
            </w:r>
          </w:p>
        </w:tc>
      </w:tr>
      <w:tr w:rsidR="00614B4D" w:rsidRPr="00ED64E7" w:rsidTr="00C214FF">
        <w:tc>
          <w:tcPr>
            <w:tcW w:w="4786" w:type="dxa"/>
            <w:shd w:val="clear" w:color="auto" w:fill="auto"/>
          </w:tcPr>
          <w:p w:rsidR="00614B4D" w:rsidRPr="00614B4D" w:rsidRDefault="00614B4D" w:rsidP="00C214FF">
            <w:pPr>
              <w:rPr>
                <w:rFonts w:eastAsia="Calibri"/>
                <w:lang w:val="en-US" w:eastAsia="ar-SA"/>
              </w:rPr>
            </w:pPr>
            <w:r w:rsidRPr="00ED64E7">
              <w:rPr>
                <w:rFonts w:eastAsia="Calibri"/>
                <w:lang w:val="en-US"/>
              </w:rPr>
              <w:t>Fig. 1. Experimental electron density distribution.</w:t>
            </w:r>
          </w:p>
        </w:tc>
        <w:tc>
          <w:tcPr>
            <w:tcW w:w="5068" w:type="dxa"/>
            <w:shd w:val="clear" w:color="auto" w:fill="auto"/>
          </w:tcPr>
          <w:p w:rsidR="00614B4D" w:rsidRPr="00ED64E7" w:rsidRDefault="00614B4D" w:rsidP="00C214FF">
            <w:pPr>
              <w:rPr>
                <w:rFonts w:eastAsia="Calibri"/>
                <w:lang w:val="en-US" w:eastAsia="ar-SA"/>
              </w:rPr>
            </w:pPr>
            <w:r w:rsidRPr="00ED64E7">
              <w:rPr>
                <w:rFonts w:eastAsia="Calibri"/>
                <w:lang w:val="en-US"/>
              </w:rPr>
              <w:t xml:space="preserve">Fig. 2. MHD electron density distribution. </w:t>
            </w:r>
          </w:p>
        </w:tc>
      </w:tr>
    </w:tbl>
    <w:p w:rsidR="00614B4D" w:rsidRDefault="00614B4D" w:rsidP="00614B4D">
      <w:pPr>
        <w:pStyle w:val="Zv-TitleReferences-en"/>
        <w:rPr>
          <w:lang w:val="en-US"/>
        </w:rPr>
      </w:pPr>
      <w:r>
        <w:rPr>
          <w:lang w:val="en-US"/>
        </w:rPr>
        <w:t>References</w:t>
      </w:r>
    </w:p>
    <w:p w:rsidR="00614B4D" w:rsidRPr="00614B4D" w:rsidRDefault="00614B4D" w:rsidP="00614B4D">
      <w:pPr>
        <w:pStyle w:val="Zv-References-en"/>
      </w:pPr>
      <w:r w:rsidRPr="00614B4D">
        <w:t>J. van Tilborg, E. Esarey, S.S. Bulanov, P.V. Sasorov, W.P. Leemans et al., Nonuniform discharge currents in active plasma lenses, PHYSICAL REVIEW ACCELERATORS AND BEAMS 20, 032803 (2017).</w:t>
      </w:r>
    </w:p>
    <w:p w:rsidR="00614B4D" w:rsidRPr="00614B4D" w:rsidRDefault="00614B4D" w:rsidP="00614B4D">
      <w:pPr>
        <w:pStyle w:val="Zv-References-en"/>
      </w:pPr>
      <w:r w:rsidRPr="00614B4D">
        <w:rPr>
          <w:szCs w:val="24"/>
        </w:rPr>
        <w:t>A.A. Drozdovsky, A.V. Bogdanov, R.O. Gavrilin, S.A. Drozdovsky, A.V. Kantsyrev, I.V. Roudskoy, S.M. Savin, P.V. Sasorov, V.V. Yanenko. The Research of the Plasma of Z-Pinch Initiated by the Electron Beam. Physics of Particles and Nuclei Letters, 2018, Vol. 15, No. 7, © Pleiades Publishing, Ltd., 2018.</w:t>
      </w:r>
    </w:p>
    <w:p w:rsidR="00654A7B" w:rsidRDefault="00654A7B">
      <w:pPr>
        <w:rPr>
          <w:lang w:val="en-US"/>
        </w:rPr>
      </w:pPr>
    </w:p>
    <w:sectPr w:rsidR="00654A7B"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BB" w:rsidRDefault="007136BB">
      <w:r>
        <w:separator/>
      </w:r>
    </w:p>
  </w:endnote>
  <w:endnote w:type="continuationSeparator" w:id="0">
    <w:p w:rsidR="007136BB" w:rsidRDefault="00713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2F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2F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016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BB" w:rsidRDefault="007136BB">
      <w:r>
        <w:separator/>
      </w:r>
    </w:p>
  </w:footnote>
  <w:footnote w:type="continuationSeparator" w:id="0">
    <w:p w:rsidR="007136BB" w:rsidRDefault="00713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492F5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136BB"/>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92F5E"/>
    <w:rsid w:val="004A3CFA"/>
    <w:rsid w:val="004A77D1"/>
    <w:rsid w:val="004B72AA"/>
    <w:rsid w:val="004F4E29"/>
    <w:rsid w:val="005074E3"/>
    <w:rsid w:val="00567C6F"/>
    <w:rsid w:val="00573BAD"/>
    <w:rsid w:val="0058676C"/>
    <w:rsid w:val="005F764D"/>
    <w:rsid w:val="00614B4D"/>
    <w:rsid w:val="00654A7B"/>
    <w:rsid w:val="006B5B24"/>
    <w:rsid w:val="007136BB"/>
    <w:rsid w:val="00732A2E"/>
    <w:rsid w:val="007B6378"/>
    <w:rsid w:val="007E06CE"/>
    <w:rsid w:val="00802D35"/>
    <w:rsid w:val="008520F9"/>
    <w:rsid w:val="008850EF"/>
    <w:rsid w:val="00906FF7"/>
    <w:rsid w:val="00AD016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B4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614B4D"/>
    <w:rPr>
      <w:color w:val="0000FF"/>
      <w:u w:val="single"/>
    </w:rPr>
  </w:style>
  <w:style w:type="character" w:customStyle="1" w:styleId="Zv-Organization0">
    <w:name w:val="Zv-Organization Знак"/>
    <w:basedOn w:val="a0"/>
    <w:link w:val="Zv-Organization"/>
    <w:rsid w:val="00614B4D"/>
    <w:rPr>
      <w:i/>
      <w:sz w:val="24"/>
    </w:rPr>
  </w:style>
  <w:style w:type="character" w:customStyle="1" w:styleId="Zv-bodyreportChar">
    <w:name w:val="Zv-body_report Char"/>
    <w:basedOn w:val="a0"/>
    <w:link w:val="Zv-bodyreport"/>
    <w:rsid w:val="00614B4D"/>
    <w:rPr>
      <w:sz w:val="24"/>
      <w:szCs w:val="24"/>
    </w:rPr>
  </w:style>
  <w:style w:type="character" w:customStyle="1" w:styleId="Zv-Author0">
    <w:name w:val="Zv-Author Знак"/>
    <w:basedOn w:val="a0"/>
    <w:link w:val="Zv-Author"/>
    <w:rsid w:val="00614B4D"/>
    <w:rPr>
      <w:bCs/>
      <w:iCs/>
      <w:sz w:val="24"/>
    </w:rPr>
  </w:style>
  <w:style w:type="paragraph" w:styleId="a8">
    <w:name w:val="Balloon Text"/>
    <w:basedOn w:val="a"/>
    <w:link w:val="a9"/>
    <w:rsid w:val="00614B4D"/>
    <w:rPr>
      <w:rFonts w:ascii="Tahoma" w:hAnsi="Tahoma" w:cs="Tahoma"/>
      <w:sz w:val="16"/>
      <w:szCs w:val="16"/>
    </w:rPr>
  </w:style>
  <w:style w:type="character" w:customStyle="1" w:styleId="a9">
    <w:name w:val="Текст выноски Знак"/>
    <w:basedOn w:val="a0"/>
    <w:link w:val="a8"/>
    <w:rsid w:val="00614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Sasorov@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ozdovsky@mail.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aksim.karpov@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9</TotalTime>
  <Pages>1</Pages>
  <Words>388</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OBSERVATION OF PLASMA LENS WITH DISCHARGE INITIATION BY THE ELECTRON BEAM</dc:title>
  <dc:creator>sato</dc:creator>
  <cp:lastModifiedBy>Сатунин</cp:lastModifiedBy>
  <cp:revision>2</cp:revision>
  <cp:lastPrinted>1601-01-01T00:00:00Z</cp:lastPrinted>
  <dcterms:created xsi:type="dcterms:W3CDTF">2019-02-02T20:16:00Z</dcterms:created>
  <dcterms:modified xsi:type="dcterms:W3CDTF">2019-03-09T19:15:00Z</dcterms:modified>
</cp:coreProperties>
</file>