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4E" w:rsidRDefault="00336B4E" w:rsidP="00863228">
      <w:pPr>
        <w:pStyle w:val="Zv-Titlereport"/>
        <w:ind w:left="1134" w:right="1133"/>
      </w:pPr>
      <w:bookmarkStart w:id="0" w:name="_Hlk531365831"/>
      <w:r>
        <w:t>Новые режимы рамановской компрессии</w:t>
      </w:r>
      <w:r w:rsidRPr="00336B4E">
        <w:t xml:space="preserve"> </w:t>
      </w:r>
      <w:r>
        <w:t>лазерных импульсов в плазме</w:t>
      </w:r>
      <w:bookmarkEnd w:id="0"/>
      <w:r>
        <w:t xml:space="preserve"> </w:t>
      </w:r>
    </w:p>
    <w:p w:rsidR="00336B4E" w:rsidRPr="00502005" w:rsidRDefault="00336B4E" w:rsidP="00336B4E">
      <w:pPr>
        <w:pStyle w:val="Zv-Author"/>
        <w:rPr>
          <w:szCs w:val="24"/>
        </w:rPr>
      </w:pPr>
      <w:r w:rsidRPr="00502005">
        <w:rPr>
          <w:szCs w:val="24"/>
        </w:rPr>
        <w:t xml:space="preserve">Балакин А.А., </w:t>
      </w:r>
      <w:r w:rsidRPr="00502005">
        <w:rPr>
          <w:szCs w:val="24"/>
          <w:u w:val="single"/>
        </w:rPr>
        <w:t>Левин Д.С.</w:t>
      </w:r>
      <w:r w:rsidRPr="00502005">
        <w:rPr>
          <w:szCs w:val="24"/>
        </w:rPr>
        <w:t>, Скобелев С.А.</w:t>
      </w:r>
    </w:p>
    <w:p w:rsidR="00336B4E" w:rsidRDefault="00336B4E" w:rsidP="00336B4E">
      <w:pPr>
        <w:pStyle w:val="Zv-Organization"/>
      </w:pPr>
      <w:r>
        <w:t xml:space="preserve">Институт прикладной физики РАН, Н. Новгород, Россия, </w:t>
      </w:r>
      <w:hyperlink r:id="rId7">
        <w:r>
          <w:rPr>
            <w:rStyle w:val="-"/>
          </w:rPr>
          <w:t>levdmit@appl.sci-nnov.ru</w:t>
        </w:r>
      </w:hyperlink>
    </w:p>
    <w:p w:rsidR="00336B4E" w:rsidRDefault="00336B4E" w:rsidP="00336B4E">
      <w:pPr>
        <w:pStyle w:val="Zv-bodyreport"/>
      </w:pPr>
      <w:r>
        <w:t>Узким местом традиционно используемого для получения мощных лазерных импульсов метода усиления частотно-модулированных импульсов (CPA) является этап компрессии лазерных импульсов, на котором возможно термическое повреждение дифракционных решеток. Для преодоления данного ограничения предлагается использовать схему обратного рамановского усиления, в которой компрессия лазерного импульса основана на резонансной перекачке энергии между двумя встречно-распространяющимися лазерными импульсами, взаимодействующими посредством плазменной волны.</w:t>
      </w:r>
    </w:p>
    <w:p w:rsidR="00336B4E" w:rsidRDefault="00336B4E" w:rsidP="00336B4E">
      <w:pPr>
        <w:pStyle w:val="Zv-bodyreport"/>
      </w:pPr>
      <w:bookmarkStart w:id="1" w:name="__DdeLink__1437_3535127702"/>
      <w:r>
        <w:t>Для данной схемы, однако, характерно наличие множества паразитных эффектов, таких как усиление шумов плазмы, нарушение трехволнового синхронизма из-за релятивистской нелинейности и/или опрокидывания плазменной волны и др. Большая часть этих эффектов может быть ослаблена выбором оптимальных параметров лазерных импульсов и плазмы. Данный доклад посвящен определению таких параметров.</w:t>
      </w:r>
    </w:p>
    <w:p w:rsidR="00336B4E" w:rsidRDefault="00336B4E" w:rsidP="00336B4E">
      <w:pPr>
        <w:pStyle w:val="Zv-bodyreport"/>
      </w:pPr>
      <w:r>
        <w:t xml:space="preserve">Теоретический анализ проводился в рамках гидродинамического описания плазмы, а также с учетом релятивистского самовоздействия лазерных импульсов. Для описания лазерных импульсов и плазменных колебаний используется квазимонохроматическое приближение. Уравнения на огибающие двух встречных электромагнитных волн </w:t>
      </w:r>
      <w:r>
        <w:rPr>
          <w:i/>
          <w:iCs/>
        </w:rPr>
        <w:t>a, b</w:t>
      </w:r>
      <w:r>
        <w:t xml:space="preserve"> и огибающую плазменной волны </w:t>
      </w:r>
      <w:r>
        <w:rPr>
          <w:i/>
          <w:iCs/>
        </w:rPr>
        <w:t>f</w:t>
      </w:r>
      <w:r>
        <w:t>, которая может быть вблизи порога опрокидывания, принимают вид трехволновых уравнений с дополнительными слагаемыми:</w:t>
      </w:r>
      <w:bookmarkEnd w:id="1"/>
    </w:p>
    <w:p w:rsidR="00336B4E" w:rsidRPr="00AC3EBD" w:rsidRDefault="00336B4E" w:rsidP="00336B4E">
      <w:pPr>
        <w:pStyle w:val="Zv-formula"/>
        <w:jc w:val="center"/>
        <w:rPr>
          <w:lang w:val="en-US"/>
        </w:rPr>
      </w:pPr>
      <w:r w:rsidRPr="00AC3EBD">
        <w:rPr>
          <w:lang w:val="en-US"/>
        </w:rPr>
        <w:t>∂</w:t>
      </w:r>
      <w:r>
        <w:rPr>
          <w:i/>
          <w:vertAlign w:val="subscript"/>
          <w:lang w:val="en-US"/>
        </w:rPr>
        <w:t>t </w:t>
      </w:r>
      <w:r>
        <w:rPr>
          <w:i/>
          <w:lang w:val="en-US"/>
        </w:rPr>
        <w:t>a</w:t>
      </w:r>
      <w:r w:rsidRPr="00AC3EBD">
        <w:rPr>
          <w:lang w:val="en-US"/>
        </w:rPr>
        <w:t xml:space="preserve"> + ∂</w:t>
      </w:r>
      <w:r>
        <w:rPr>
          <w:i/>
          <w:vertAlign w:val="subscript"/>
          <w:lang w:val="en-US"/>
        </w:rPr>
        <w:t>z </w:t>
      </w:r>
      <w:r>
        <w:rPr>
          <w:i/>
          <w:lang w:val="en-US"/>
        </w:rPr>
        <w:t>a</w:t>
      </w:r>
      <w:r w:rsidRPr="00AC3EBD">
        <w:rPr>
          <w:lang w:val="en-US"/>
        </w:rPr>
        <w:t xml:space="preserve"> = –</w:t>
      </w:r>
      <w:r>
        <w:rPr>
          <w:i/>
          <w:lang w:val="en-US"/>
        </w:rPr>
        <w:t>bf</w:t>
      </w:r>
      <w:r w:rsidRPr="00AC3EBD">
        <w:rPr>
          <w:lang w:val="en-US"/>
        </w:rPr>
        <w:t xml:space="preserve"> + </w:t>
      </w:r>
      <w:r>
        <w:rPr>
          <w:lang w:val="en-US"/>
        </w:rPr>
        <w:t>i</w:t>
      </w:r>
      <w:r>
        <w:rPr>
          <w:i/>
          <w:lang w:val="en-US"/>
        </w:rPr>
        <w:t>Ka</w:t>
      </w:r>
      <w:r w:rsidRPr="00AC3EBD">
        <w:rPr>
          <w:lang w:val="en-US"/>
        </w:rPr>
        <w:t xml:space="preserve"> – </w:t>
      </w:r>
      <w:r>
        <w:rPr>
          <w:lang w:val="en-US"/>
        </w:rPr>
        <w:t>i</w:t>
      </w:r>
      <w:r>
        <w:t>α</w:t>
      </w:r>
      <w:r w:rsidRPr="00AC3EBD">
        <w:rPr>
          <w:lang w:val="en-US"/>
        </w:rPr>
        <w:t>/2 ∂</w:t>
      </w:r>
      <w:r>
        <w:rPr>
          <w:i/>
          <w:vertAlign w:val="subscript"/>
          <w:lang w:val="en-US"/>
        </w:rPr>
        <w:t>zz </w:t>
      </w:r>
      <w:r>
        <w:rPr>
          <w:i/>
          <w:lang w:val="en-US"/>
        </w:rPr>
        <w:t>a</w:t>
      </w:r>
      <w:r w:rsidRPr="00AC3EBD">
        <w:rPr>
          <w:i/>
          <w:lang w:val="en-US"/>
        </w:rPr>
        <w:t xml:space="preserve"> </w:t>
      </w:r>
    </w:p>
    <w:p w:rsidR="00336B4E" w:rsidRPr="00AC3EBD" w:rsidRDefault="00336B4E" w:rsidP="00336B4E">
      <w:pPr>
        <w:pStyle w:val="Zv-formula"/>
        <w:jc w:val="center"/>
        <w:rPr>
          <w:lang w:val="en-US"/>
        </w:rPr>
      </w:pPr>
      <w:r w:rsidRPr="00AC3EBD">
        <w:rPr>
          <w:lang w:val="en-US"/>
        </w:rPr>
        <w:t>∂</w:t>
      </w:r>
      <w:r>
        <w:rPr>
          <w:i/>
          <w:vertAlign w:val="subscript"/>
          <w:lang w:val="en-US"/>
        </w:rPr>
        <w:t>t </w:t>
      </w:r>
      <w:r>
        <w:rPr>
          <w:i/>
          <w:lang w:val="en-US"/>
        </w:rPr>
        <w:t>b</w:t>
      </w:r>
      <w:r w:rsidRPr="00AC3EBD">
        <w:rPr>
          <w:lang w:val="en-US"/>
        </w:rPr>
        <w:t xml:space="preserve"> – ∂</w:t>
      </w:r>
      <w:r>
        <w:rPr>
          <w:i/>
          <w:vertAlign w:val="subscript"/>
          <w:lang w:val="en-US"/>
        </w:rPr>
        <w:t>z </w:t>
      </w:r>
      <w:r>
        <w:rPr>
          <w:i/>
          <w:lang w:val="en-US"/>
        </w:rPr>
        <w:t>b</w:t>
      </w:r>
      <w:r w:rsidRPr="00AC3EBD">
        <w:rPr>
          <w:lang w:val="en-US"/>
        </w:rPr>
        <w:t xml:space="preserve"> = –</w:t>
      </w:r>
      <w:r>
        <w:rPr>
          <w:i/>
          <w:lang w:val="en-US"/>
        </w:rPr>
        <w:t>af</w:t>
      </w:r>
      <w:r w:rsidRPr="00AC3EBD">
        <w:rPr>
          <w:i/>
          <w:vertAlign w:val="superscript"/>
          <w:lang w:val="en-US"/>
        </w:rPr>
        <w:t>*</w:t>
      </w:r>
      <w:r w:rsidRPr="00AC3EBD">
        <w:rPr>
          <w:lang w:val="en-US"/>
        </w:rPr>
        <w:t xml:space="preserve"> + </w:t>
      </w:r>
      <w:r>
        <w:rPr>
          <w:lang w:val="en-US"/>
        </w:rPr>
        <w:t>i</w:t>
      </w:r>
      <w:r>
        <w:rPr>
          <w:i/>
          <w:lang w:val="en-US"/>
        </w:rPr>
        <w:t>Kb</w:t>
      </w:r>
      <w:r w:rsidRPr="00AC3EBD">
        <w:rPr>
          <w:lang w:val="en-US"/>
        </w:rPr>
        <w:t xml:space="preserve"> – </w:t>
      </w:r>
      <w:r>
        <w:rPr>
          <w:lang w:val="en-US"/>
        </w:rPr>
        <w:t>iε</w:t>
      </w:r>
      <w:r w:rsidRPr="00AC3EBD">
        <w:rPr>
          <w:lang w:val="en-US"/>
        </w:rPr>
        <w:t>|</w:t>
      </w:r>
      <w:r>
        <w:rPr>
          <w:i/>
          <w:lang w:val="en-US"/>
        </w:rPr>
        <w:t>b</w:t>
      </w:r>
      <w:r w:rsidRPr="00AC3EBD">
        <w:rPr>
          <w:i/>
          <w:lang w:val="en-US"/>
        </w:rPr>
        <w:t>|</w:t>
      </w:r>
      <w:r w:rsidRPr="00AC3EBD">
        <w:rPr>
          <w:vertAlign w:val="superscript"/>
          <w:lang w:val="en-US"/>
        </w:rPr>
        <w:t>2</w:t>
      </w:r>
      <w:r>
        <w:rPr>
          <w:i/>
          <w:lang w:val="en-US"/>
        </w:rPr>
        <w:t>b</w:t>
      </w:r>
      <w:r w:rsidRPr="00AC3EBD">
        <w:rPr>
          <w:lang w:val="en-US"/>
        </w:rPr>
        <w:t xml:space="preserve"> – </w:t>
      </w:r>
      <w:r>
        <w:rPr>
          <w:lang w:val="en-US"/>
        </w:rPr>
        <w:t>i</w:t>
      </w:r>
      <w:r>
        <w:t>α</w:t>
      </w:r>
      <w:r w:rsidRPr="00AC3EBD">
        <w:rPr>
          <w:lang w:val="en-US"/>
        </w:rPr>
        <w:t>/2 ∂</w:t>
      </w:r>
      <w:r>
        <w:rPr>
          <w:i/>
          <w:vertAlign w:val="subscript"/>
          <w:lang w:val="en-US"/>
        </w:rPr>
        <w:t>zz </w:t>
      </w:r>
      <w:r>
        <w:rPr>
          <w:i/>
          <w:lang w:val="en-US"/>
        </w:rPr>
        <w:t>b</w:t>
      </w:r>
    </w:p>
    <w:p w:rsidR="00336B4E" w:rsidRPr="00AC3EBD" w:rsidRDefault="00336B4E" w:rsidP="00336B4E">
      <w:pPr>
        <w:pStyle w:val="Zv-formula"/>
        <w:jc w:val="center"/>
        <w:rPr>
          <w:lang w:val="en-US"/>
        </w:rPr>
      </w:pPr>
      <w:r w:rsidRPr="00AC3EBD">
        <w:rPr>
          <w:lang w:val="en-US"/>
        </w:rPr>
        <w:t>∂</w:t>
      </w:r>
      <w:r>
        <w:rPr>
          <w:i/>
          <w:vertAlign w:val="subscript"/>
          <w:lang w:val="en-US"/>
        </w:rPr>
        <w:t>t </w:t>
      </w:r>
      <w:r>
        <w:rPr>
          <w:i/>
          <w:lang w:val="en-US"/>
        </w:rPr>
        <w:t>f</w:t>
      </w:r>
      <w:r w:rsidRPr="00AC3EBD">
        <w:rPr>
          <w:lang w:val="en-US"/>
        </w:rPr>
        <w:t xml:space="preserve"> = </w:t>
      </w:r>
      <w:r>
        <w:rPr>
          <w:i/>
          <w:lang w:val="en-US"/>
        </w:rPr>
        <w:t>ab</w:t>
      </w:r>
      <w:r w:rsidRPr="00AC3EBD">
        <w:rPr>
          <w:i/>
          <w:vertAlign w:val="superscript"/>
          <w:lang w:val="en-US"/>
        </w:rPr>
        <w:t>*</w:t>
      </w:r>
      <w:r w:rsidRPr="00AC3EBD">
        <w:rPr>
          <w:lang w:val="en-US"/>
        </w:rPr>
        <w:t xml:space="preserve"> + </w:t>
      </w:r>
      <w:r>
        <w:rPr>
          <w:lang w:val="en-US"/>
        </w:rPr>
        <w:t>iκ</w:t>
      </w:r>
      <w:r>
        <w:rPr>
          <w:i/>
          <w:lang w:val="en-US"/>
        </w:rPr>
        <w:t>b</w:t>
      </w:r>
      <w:r w:rsidRPr="00AC3EBD">
        <w:rPr>
          <w:lang w:val="en-US"/>
        </w:rPr>
        <w:t xml:space="preserve"> + </w:t>
      </w:r>
      <w:r>
        <w:rPr>
          <w:lang w:val="en-US"/>
        </w:rPr>
        <w:t>iχ</w:t>
      </w:r>
      <w:r w:rsidRPr="00AC3EBD">
        <w:rPr>
          <w:lang w:val="en-US"/>
        </w:rPr>
        <w:t>|</w:t>
      </w:r>
      <w:r>
        <w:rPr>
          <w:i/>
          <w:lang w:val="en-US"/>
        </w:rPr>
        <w:t>f</w:t>
      </w:r>
      <w:r w:rsidRPr="00AC3EBD">
        <w:rPr>
          <w:i/>
          <w:lang w:val="en-US"/>
        </w:rPr>
        <w:t>|</w:t>
      </w:r>
      <w:r w:rsidRPr="00AC3EBD">
        <w:rPr>
          <w:vertAlign w:val="superscript"/>
          <w:lang w:val="en-US"/>
        </w:rPr>
        <w:t>2</w:t>
      </w:r>
      <w:r w:rsidRPr="00AC3EBD">
        <w:rPr>
          <w:i/>
          <w:vertAlign w:val="superscript"/>
          <w:lang w:val="en-US"/>
        </w:rPr>
        <w:t> </w:t>
      </w:r>
      <w:r>
        <w:rPr>
          <w:i/>
          <w:lang w:val="en-US"/>
        </w:rPr>
        <w:t>f</w:t>
      </w:r>
      <w:r w:rsidRPr="00AC3EBD">
        <w:rPr>
          <w:lang w:val="en-US"/>
        </w:rPr>
        <w:t xml:space="preserve"> – </w:t>
      </w:r>
      <w:r>
        <w:rPr>
          <w:lang w:val="en-US"/>
        </w:rPr>
        <w:t>ν</w:t>
      </w:r>
      <w:r>
        <w:rPr>
          <w:i/>
          <w:lang w:val="en-US"/>
        </w:rPr>
        <w:t>f</w:t>
      </w:r>
      <w:r w:rsidRPr="00AC3EBD">
        <w:rPr>
          <w:i/>
          <w:lang w:val="en-US"/>
        </w:rPr>
        <w:t xml:space="preserve"> </w:t>
      </w:r>
      <w:r w:rsidRPr="00AC3EBD">
        <w:rPr>
          <w:lang w:val="en-US"/>
        </w:rPr>
        <w:t>,</w:t>
      </w:r>
    </w:p>
    <w:p w:rsidR="00336B4E" w:rsidRPr="00AC3EBD" w:rsidRDefault="00336B4E" w:rsidP="00336B4E">
      <w:pPr>
        <w:pStyle w:val="Zv-bodyreportcont"/>
      </w:pPr>
      <w:r w:rsidRPr="00AC3EBD">
        <w:t xml:space="preserve">Здесь </w:t>
      </w:r>
      <w:r w:rsidRPr="00AC3EBD">
        <w:rPr>
          <w:i/>
          <w:iCs/>
          <w:lang w:val="en-US"/>
        </w:rPr>
        <w:t>t</w:t>
      </w:r>
      <w:r w:rsidRPr="00AC3EBD">
        <w:t xml:space="preserve"> и </w:t>
      </w:r>
      <w:r w:rsidRPr="00AC3EBD">
        <w:rPr>
          <w:i/>
          <w:iCs/>
          <w:lang w:val="en-US"/>
        </w:rPr>
        <w:t>z</w:t>
      </w:r>
      <w:r w:rsidRPr="00AC3EBD">
        <w:t xml:space="preserve"> нормированы на обратный инкремент рамановского усиления 1/</w:t>
      </w:r>
      <w:r w:rsidRPr="00AC3EBD">
        <w:rPr>
          <w:lang w:val="en-US"/>
        </w:rPr>
        <w:t>γ</w:t>
      </w:r>
      <w:r w:rsidRPr="00AC3EBD">
        <w:t xml:space="preserve"> и </w:t>
      </w:r>
      <w:r w:rsidRPr="00AC3EBD">
        <w:rPr>
          <w:i/>
          <w:iCs/>
          <w:lang w:val="en-US"/>
        </w:rPr>
        <w:t>c</w:t>
      </w:r>
      <w:r w:rsidRPr="00AC3EBD">
        <w:t>/</w:t>
      </w:r>
      <w:r w:rsidRPr="00AC3EBD">
        <w:rPr>
          <w:lang w:val="en-US"/>
        </w:rPr>
        <w:t>γ</w:t>
      </w:r>
      <w:r w:rsidRPr="00AC3EBD">
        <w:t xml:space="preserve"> </w:t>
      </w:r>
      <w:r w:rsidRPr="00E84300">
        <w:br/>
      </w:r>
      <w:r w:rsidRPr="00AC3EBD">
        <w:t>(</w:t>
      </w:r>
      <w:r w:rsidRPr="00AC3EBD">
        <w:rPr>
          <w:lang w:val="en-US"/>
        </w:rPr>
        <w:t>γ</w:t>
      </w:r>
      <w:r w:rsidRPr="00E84300">
        <w:t xml:space="preserve"> </w:t>
      </w:r>
      <w:r w:rsidRPr="00AC3EBD">
        <w:t>=</w:t>
      </w:r>
      <w:r w:rsidRPr="00E84300">
        <w:t xml:space="preserve"> </w:t>
      </w:r>
      <w:r w:rsidRPr="00AC3EBD">
        <w:t>1/</w:t>
      </w:r>
      <w:r w:rsidRPr="00AC3EBD">
        <w:rPr>
          <w:i/>
          <w:iCs/>
          <w:lang w:val="en-US"/>
        </w:rPr>
        <w:t>a</w:t>
      </w:r>
      <w:r w:rsidRPr="00AC3EBD">
        <w:rPr>
          <w:vertAlign w:val="subscript"/>
        </w:rPr>
        <w:t>0</w:t>
      </w:r>
      <w:r w:rsidRPr="00AC3EBD">
        <w:t>β</w:t>
      </w:r>
      <w:r w:rsidRPr="00AC3EBD">
        <w:rPr>
          <w:vertAlign w:val="superscript"/>
        </w:rPr>
        <w:t>1/4</w:t>
      </w:r>
      <w:r w:rsidRPr="00AC3EBD">
        <w:t xml:space="preserve">ω), </w:t>
      </w:r>
      <w:r w:rsidRPr="00AC3EBD">
        <w:rPr>
          <w:i/>
          <w:iCs/>
          <w:lang w:val="en-US"/>
        </w:rPr>
        <w:t>a</w:t>
      </w:r>
      <w:r w:rsidRPr="00AC3EBD">
        <w:t xml:space="preserve"> и </w:t>
      </w:r>
      <w:r w:rsidRPr="00AC3EBD">
        <w:rPr>
          <w:i/>
          <w:iCs/>
          <w:lang w:val="en-US"/>
        </w:rPr>
        <w:t>b</w:t>
      </w:r>
      <w:r w:rsidRPr="00AC3EBD">
        <w:t xml:space="preserve"> нормированы на амплитуду накачки </w:t>
      </w:r>
      <w:r w:rsidRPr="00AC3EBD">
        <w:rPr>
          <w:i/>
          <w:iCs/>
          <w:lang w:val="en-US"/>
        </w:rPr>
        <w:t>a</w:t>
      </w:r>
      <w:r w:rsidRPr="00AC3EBD">
        <w:rPr>
          <w:vertAlign w:val="subscript"/>
        </w:rPr>
        <w:t>0</w:t>
      </w:r>
      <w:r w:rsidRPr="00AC3EBD">
        <w:t>; β=ω</w:t>
      </w:r>
      <w:r w:rsidRPr="00AC3EBD">
        <w:rPr>
          <w:vertAlign w:val="subscript"/>
          <w:lang w:val="en-US"/>
        </w:rPr>
        <w:t>p</w:t>
      </w:r>
      <w:r w:rsidRPr="00AC3EBD">
        <w:rPr>
          <w:vertAlign w:val="superscript"/>
        </w:rPr>
        <w:t>2</w:t>
      </w:r>
      <w:r w:rsidRPr="00AC3EBD">
        <w:t>/ω</w:t>
      </w:r>
      <w:r w:rsidRPr="00AC3EBD">
        <w:rPr>
          <w:vertAlign w:val="superscript"/>
        </w:rPr>
        <w:t>2</w:t>
      </w:r>
      <w:r w:rsidRPr="00AC3EBD">
        <w:t xml:space="preserve"> – отношение плотности плазмы к критической; α</w:t>
      </w:r>
      <w:r w:rsidRPr="00E84300">
        <w:t xml:space="preserve"> </w:t>
      </w:r>
      <w:r w:rsidRPr="00AC3EBD">
        <w:t>=</w:t>
      </w:r>
      <w:r w:rsidRPr="00E84300">
        <w:t xml:space="preserve"> </w:t>
      </w:r>
      <w:r w:rsidRPr="00AC3EBD">
        <w:rPr>
          <w:i/>
          <w:iCs/>
          <w:lang w:val="en-US"/>
        </w:rPr>
        <w:t>a</w:t>
      </w:r>
      <w:r w:rsidRPr="00AC3EBD">
        <w:rPr>
          <w:vertAlign w:val="subscript"/>
        </w:rPr>
        <w:t>0</w:t>
      </w:r>
      <w:r w:rsidRPr="00AC3EBD">
        <w:t>β</w:t>
      </w:r>
      <w:r w:rsidRPr="00AC3EBD">
        <w:rPr>
          <w:vertAlign w:val="superscript"/>
        </w:rPr>
        <w:t>5/4</w:t>
      </w:r>
      <w:r w:rsidRPr="00AC3EBD">
        <w:t>, ε</w:t>
      </w:r>
      <w:r w:rsidRPr="00E84300">
        <w:t xml:space="preserve"> </w:t>
      </w:r>
      <w:r w:rsidRPr="00AC3EBD">
        <w:t>=</w:t>
      </w:r>
      <w:r w:rsidRPr="00E84300">
        <w:t xml:space="preserve"> </w:t>
      </w:r>
      <w:r w:rsidRPr="00AC3EBD">
        <w:t>¾</w:t>
      </w:r>
      <w:r w:rsidRPr="00AC3EBD">
        <w:rPr>
          <w:vertAlign w:val="superscript"/>
        </w:rPr>
        <w:t> </w:t>
      </w:r>
      <w:r w:rsidRPr="00AC3EBD">
        <w:rPr>
          <w:i/>
          <w:iCs/>
          <w:lang w:val="en-US"/>
        </w:rPr>
        <w:t>a</w:t>
      </w:r>
      <w:r w:rsidRPr="00AC3EBD">
        <w:rPr>
          <w:vertAlign w:val="subscript"/>
        </w:rPr>
        <w:t>0</w:t>
      </w:r>
      <w:r w:rsidRPr="00AC3EBD">
        <w:t>β</w:t>
      </w:r>
      <w:r w:rsidRPr="00AC3EBD">
        <w:rPr>
          <w:vertAlign w:val="superscript"/>
        </w:rPr>
        <w:t>3/4</w:t>
      </w:r>
      <w:r w:rsidRPr="00AC3EBD">
        <w:t>, χ = 8</w:t>
      </w:r>
      <w:r w:rsidRPr="00AC3EBD">
        <w:rPr>
          <w:i/>
          <w:iCs/>
          <w:lang w:val="en-US"/>
        </w:rPr>
        <w:t>a</w:t>
      </w:r>
      <w:r w:rsidRPr="00AC3EBD">
        <w:rPr>
          <w:vertAlign w:val="subscript"/>
        </w:rPr>
        <w:t>0</w:t>
      </w:r>
      <w:r w:rsidRPr="00AC3EBD">
        <w:t>/β</w:t>
      </w:r>
      <w:r w:rsidRPr="00AC3EBD">
        <w:rPr>
          <w:vertAlign w:val="superscript"/>
        </w:rPr>
        <w:t>5/4</w:t>
      </w:r>
      <w:r w:rsidRPr="00AC3EBD">
        <w:t xml:space="preserve"> – безразмерные коэффициенты плазменной дисперсии, релятивистской и гидродинамической нелинейностей, ν</w:t>
      </w:r>
      <w:r w:rsidRPr="00E84300">
        <w:t xml:space="preserve"> </w:t>
      </w:r>
      <w:r w:rsidRPr="00AC3EBD">
        <w:t>=</w:t>
      </w:r>
      <w:r w:rsidRPr="00E84300">
        <w:t xml:space="preserve"> </w:t>
      </w:r>
      <w:r w:rsidRPr="00AC3EBD">
        <w:t>ν</w:t>
      </w:r>
      <w:r w:rsidRPr="00AC3EBD">
        <w:rPr>
          <w:vertAlign w:val="subscript"/>
          <w:lang w:val="en-US"/>
        </w:rPr>
        <w:t>L</w:t>
      </w:r>
      <w:r w:rsidRPr="00AC3EBD">
        <w:t xml:space="preserve">/γ – безразмерный коэффициент затухания Ландау; </w:t>
      </w:r>
      <w:r w:rsidRPr="00AC3EBD">
        <w:rPr>
          <w:i/>
          <w:iCs/>
          <w:lang w:val="en-US"/>
        </w:rPr>
        <w:t>K</w:t>
      </w:r>
      <w:r w:rsidRPr="00E84300">
        <w:rPr>
          <w:i/>
          <w:iCs/>
        </w:rPr>
        <w:t xml:space="preserve"> </w:t>
      </w:r>
      <w:r w:rsidRPr="00AC3EBD">
        <w:t>=</w:t>
      </w:r>
      <w:r w:rsidRPr="00E84300">
        <w:t xml:space="preserve"> </w:t>
      </w:r>
      <w:r w:rsidRPr="00AC3EBD">
        <w:t>β/2γδ</w:t>
      </w:r>
      <w:r w:rsidRPr="00AC3EBD">
        <w:rPr>
          <w:lang w:val="en-US"/>
        </w:rPr>
        <w:t>n</w:t>
      </w:r>
      <w:r w:rsidRPr="00AC3EBD">
        <w:t xml:space="preserve"> и </w:t>
      </w:r>
      <w:r w:rsidRPr="00AC3EBD">
        <w:rPr>
          <w:lang w:val="en-US"/>
        </w:rPr>
        <w:t>κ</w:t>
      </w:r>
      <w:r w:rsidRPr="00E84300">
        <w:t xml:space="preserve"> </w:t>
      </w:r>
      <w:r w:rsidRPr="00AC3EBD">
        <w:t>=</w:t>
      </w:r>
      <w:r w:rsidRPr="00E84300">
        <w:t xml:space="preserve"> </w:t>
      </w:r>
      <w:r w:rsidRPr="00AC3EBD">
        <w:t>β</w:t>
      </w:r>
      <w:r w:rsidRPr="00AC3EBD">
        <w:rPr>
          <w:vertAlign w:val="superscript"/>
        </w:rPr>
        <w:t>½</w:t>
      </w:r>
      <w:r w:rsidRPr="00AC3EBD">
        <w:t>/γδ</w:t>
      </w:r>
      <w:r w:rsidRPr="00AC3EBD">
        <w:rPr>
          <w:lang w:val="en-US"/>
        </w:rPr>
        <w:t>n</w:t>
      </w:r>
      <w:r w:rsidRPr="00AC3EBD">
        <w:t xml:space="preserve"> – описывают влияние квазистатических неоднородностей плазмы.</w:t>
      </w:r>
    </w:p>
    <w:p w:rsidR="00336B4E" w:rsidRPr="000F1B73" w:rsidRDefault="00336B4E" w:rsidP="00336B4E">
      <w:pPr>
        <w:pStyle w:val="Zv-bodyreport"/>
      </w:pPr>
      <w:r w:rsidRPr="00AC3EBD">
        <w:t xml:space="preserve">Проведено аналитическое и численное исследование данных уравнений при различных значениях параметров. Показано, что основными ограничивающими факторами являются излишне высокая частотная модуляция импульса накачки и слишком редкая плазма, в которой возможно опрокидывание плазменной волны. Использование коротких затравочных импульсов позволяет уменьшить ограничение на максимально допустимую величину </w:t>
      </w:r>
      <w:r w:rsidRPr="000F1B73">
        <w:t xml:space="preserve">частотной модуляции ρ импульса накачки </w:t>
      </w:r>
      <w:r w:rsidRPr="000F1B73">
        <w:rPr>
          <w:i/>
          <w:iCs/>
        </w:rPr>
        <w:t>a</w:t>
      </w:r>
      <w:r w:rsidRPr="000F1B73">
        <w:t>~</w:t>
      </w:r>
      <w:r w:rsidRPr="000F1B73">
        <w:rPr>
          <w:i/>
          <w:iCs/>
        </w:rPr>
        <w:t>a</w:t>
      </w:r>
      <w:r w:rsidRPr="000F1B73">
        <w:rPr>
          <w:vertAlign w:val="subscript"/>
        </w:rPr>
        <w:t>0 </w:t>
      </w:r>
      <w:r w:rsidRPr="000F1B73">
        <w:t>exp(iρ</w:t>
      </w:r>
      <w:r w:rsidRPr="000F1B73">
        <w:rPr>
          <w:lang w:val="en-US"/>
        </w:rPr>
        <w:t>γ</w:t>
      </w:r>
      <w:r w:rsidRPr="000F1B73">
        <w:rPr>
          <w:vertAlign w:val="superscript"/>
        </w:rPr>
        <w:t>2</w:t>
      </w:r>
      <w:r w:rsidRPr="000F1B73">
        <w:rPr>
          <w:i/>
          <w:iCs/>
          <w:lang w:val="en-US"/>
        </w:rPr>
        <w:t>t</w:t>
      </w:r>
      <w:r w:rsidRPr="000F1B73">
        <w:rPr>
          <w:vertAlign w:val="superscript"/>
        </w:rPr>
        <w:t>2</w:t>
      </w:r>
      <w:r w:rsidRPr="000F1B73">
        <w:t>), однако превышение ей значения порядка единицы все равно делает рамановское усиление затруднительным. Кроме того, мы предлагаем сместить начало области взаимодействия на край плазмы для компенсации излишне большой частотной модуляции накачки.</w:t>
      </w:r>
    </w:p>
    <w:p w:rsidR="00336B4E" w:rsidRPr="004C550D" w:rsidRDefault="00336B4E" w:rsidP="00336B4E">
      <w:pPr>
        <w:pStyle w:val="Zv-bodyreport"/>
      </w:pPr>
      <w:r w:rsidRPr="000F1B73">
        <w:t>В то же время, частотная модуляция накачки ρ ≈ 0.5, слабо влияя на линейную стадию</w:t>
      </w:r>
      <w:r>
        <w:t xml:space="preserve"> усиления интенсивного короткого затравочного импульса, способна компенсировать расстройку трехволнового синхронизма из-за близости к порогу опрокидывания плазменной волны вплоть до значений χ ≤ 500. При амплитуде накачки </w:t>
      </w:r>
      <w:r>
        <w:rPr>
          <w:i/>
          <w:iCs/>
          <w:lang w:val="en-US"/>
        </w:rPr>
        <w:t>a</w:t>
      </w:r>
      <w:r>
        <w:rPr>
          <w:vertAlign w:val="subscript"/>
        </w:rPr>
        <w:t>0</w:t>
      </w:r>
      <w:r>
        <w:t xml:space="preserve"> ≈ 0</w:t>
      </w:r>
      <w:r w:rsidRPr="00E84300">
        <w:t>,</w:t>
      </w:r>
      <w:r>
        <w:t>01 от релятивистского значения это позволяет эффективно использовать в эксперименте даже довольно низкие концентрации плазмы – до долей процента от критической плотности (β ≥ 0</w:t>
      </w:r>
      <w:r w:rsidRPr="00E84300">
        <w:t>,</w:t>
      </w:r>
      <w:r>
        <w:t>002).</w:t>
      </w:r>
    </w:p>
    <w:p w:rsidR="00654A7B" w:rsidRPr="00336B4E" w:rsidRDefault="00654A7B"/>
    <w:sectPr w:rsidR="00654A7B" w:rsidRPr="00336B4E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7FA" w:rsidRDefault="000417FA">
      <w:r>
        <w:separator/>
      </w:r>
    </w:p>
  </w:endnote>
  <w:endnote w:type="continuationSeparator" w:id="0">
    <w:p w:rsidR="000417FA" w:rsidRDefault="00041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2F5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2F5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322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7FA" w:rsidRDefault="000417FA">
      <w:r>
        <w:separator/>
      </w:r>
    </w:p>
  </w:footnote>
  <w:footnote w:type="continuationSeparator" w:id="0">
    <w:p w:rsidR="000417FA" w:rsidRDefault="000417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336B4E">
      <w:rPr>
        <w:sz w:val="20"/>
      </w:rPr>
      <w:t>18</w:t>
    </w:r>
    <w:r>
      <w:rPr>
        <w:sz w:val="20"/>
      </w:rPr>
      <w:t xml:space="preserve"> – </w:t>
    </w:r>
    <w:r w:rsidR="0094721E" w:rsidRPr="00336B4E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4D2F5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3228"/>
    <w:rsid w:val="00037DCC"/>
    <w:rsid w:val="000417FA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36B4E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D2F5C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63228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qFormat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qFormat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-">
    <w:name w:val="Интернет-ссылка"/>
    <w:rsid w:val="00336B4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vdmit@appl.sci-nn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РЕЖИМЫ РАМАНОВСКОЙ КОМПРЕССИИ ЛАЗЕРНЫХ ИМПУЛЬСОВ В ПЛАЗМЕ</dc:title>
  <dc:creator>sato</dc:creator>
  <cp:lastModifiedBy>Сатунин</cp:lastModifiedBy>
  <cp:revision>2</cp:revision>
  <cp:lastPrinted>1601-01-01T00:00:00Z</cp:lastPrinted>
  <dcterms:created xsi:type="dcterms:W3CDTF">2019-01-28T12:59:00Z</dcterms:created>
  <dcterms:modified xsi:type="dcterms:W3CDTF">2019-01-28T13:02:00Z</dcterms:modified>
</cp:coreProperties>
</file>