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5F" w:rsidRPr="003C3AB5" w:rsidRDefault="0053095F" w:rsidP="0053095F">
      <w:pPr>
        <w:pStyle w:val="Zv-Titlereport"/>
      </w:pPr>
      <w:bookmarkStart w:id="0" w:name="_Hlk532394024"/>
      <w:r>
        <w:t>Моделирование вклада нагревного пучка в энергетический спектр нейтронов токамака-реактора ИТЭР</w:t>
      </w:r>
    </w:p>
    <w:p w:rsidR="0053095F" w:rsidRPr="00BA4364" w:rsidRDefault="0053095F" w:rsidP="0053095F">
      <w:pPr>
        <w:pStyle w:val="Zv-Author"/>
      </w:pPr>
      <w:bookmarkStart w:id="1" w:name="_Toc435091269"/>
      <w:bookmarkEnd w:id="0"/>
      <w:r>
        <w:rPr>
          <w:vertAlign w:val="superscript"/>
        </w:rPr>
        <w:t>1</w:t>
      </w:r>
      <w:r>
        <w:t>Кормилицын</w:t>
      </w:r>
      <w:r w:rsidRPr="0034010F">
        <w:t xml:space="preserve"> </w:t>
      </w:r>
      <w:r>
        <w:t>Т</w:t>
      </w:r>
      <w:r w:rsidRPr="003C3AB5">
        <w:t>.</w:t>
      </w:r>
      <w:r>
        <w:t>М</w:t>
      </w:r>
      <w:r w:rsidRPr="003C3AB5">
        <w:t xml:space="preserve">., </w:t>
      </w:r>
      <w:r>
        <w:rPr>
          <w:vertAlign w:val="superscript"/>
        </w:rPr>
        <w:t>2</w:t>
      </w:r>
      <w:r>
        <w:t>Кащук</w:t>
      </w:r>
      <w:bookmarkEnd w:id="1"/>
      <w:r w:rsidRPr="0034010F">
        <w:t xml:space="preserve"> </w:t>
      </w:r>
      <w:r>
        <w:t>Ю.А</w:t>
      </w:r>
      <w:r w:rsidRPr="003C3AB5">
        <w:t>.</w:t>
      </w:r>
      <w:r>
        <w:t xml:space="preserve">, </w:t>
      </w:r>
      <w:r>
        <w:rPr>
          <w:vertAlign w:val="superscript"/>
        </w:rPr>
        <w:t>2</w:t>
      </w:r>
      <w:r w:rsidRPr="00BA4364">
        <w:t>Портнов</w:t>
      </w:r>
      <w:bookmarkStart w:id="2" w:name="_GoBack"/>
      <w:bookmarkEnd w:id="2"/>
      <w:r w:rsidRPr="0034010F">
        <w:t xml:space="preserve"> </w:t>
      </w:r>
      <w:r w:rsidRPr="00BA4364">
        <w:t>Д.В.</w:t>
      </w:r>
    </w:p>
    <w:p w:rsidR="0053095F" w:rsidRPr="0034010F" w:rsidRDefault="0053095F" w:rsidP="0053095F">
      <w:pPr>
        <w:pStyle w:val="Zv-Organization"/>
      </w:pPr>
      <w:bookmarkStart w:id="3" w:name="_Hlk466914990"/>
      <w:bookmarkStart w:id="4" w:name="_Hlk466915530"/>
      <w:r>
        <w:rPr>
          <w:szCs w:val="24"/>
          <w:vertAlign w:val="superscript"/>
        </w:rPr>
        <w:t>1</w:t>
      </w:r>
      <w:r w:rsidRPr="00420A1E">
        <w:rPr>
          <w:szCs w:val="24"/>
        </w:rPr>
        <w:t>Московский</w:t>
      </w:r>
      <w:r w:rsidRPr="0034010F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34010F">
        <w:rPr>
          <w:szCs w:val="24"/>
        </w:rPr>
        <w:t>-</w:t>
      </w:r>
      <w:r w:rsidRPr="00420A1E">
        <w:rPr>
          <w:szCs w:val="24"/>
        </w:rPr>
        <w:t>технический</w:t>
      </w:r>
      <w:r w:rsidRPr="0034010F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34010F">
        <w:rPr>
          <w:szCs w:val="24"/>
        </w:rPr>
        <w:t xml:space="preserve">, </w:t>
      </w:r>
      <w:r>
        <w:rPr>
          <w:szCs w:val="24"/>
        </w:rPr>
        <w:t>г</w:t>
      </w:r>
      <w:r w:rsidRPr="0034010F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34010F">
        <w:rPr>
          <w:szCs w:val="24"/>
        </w:rPr>
        <w:t xml:space="preserve">, </w:t>
      </w:r>
      <w:r>
        <w:rPr>
          <w:szCs w:val="24"/>
        </w:rPr>
        <w:t>Московская</w:t>
      </w:r>
      <w:r w:rsidRPr="0034010F">
        <w:rPr>
          <w:szCs w:val="24"/>
        </w:rPr>
        <w:t xml:space="preserve"> </w:t>
      </w:r>
      <w:r>
        <w:rPr>
          <w:szCs w:val="24"/>
        </w:rPr>
        <w:t>область</w:t>
      </w:r>
      <w:r w:rsidRPr="0034010F">
        <w:rPr>
          <w:szCs w:val="24"/>
        </w:rPr>
        <w:t>,</w:t>
      </w:r>
      <w:r w:rsidRPr="0053095F">
        <w:rPr>
          <w:szCs w:val="24"/>
        </w:rPr>
        <w:br/>
        <w:t xml:space="preserve">    </w:t>
      </w:r>
      <w:r w:rsidRPr="0034010F">
        <w:rPr>
          <w:szCs w:val="24"/>
        </w:rPr>
        <w:t xml:space="preserve"> </w:t>
      </w:r>
      <w:r>
        <w:rPr>
          <w:szCs w:val="24"/>
        </w:rPr>
        <w:t>Россия</w:t>
      </w:r>
      <w:bookmarkEnd w:id="3"/>
      <w:bookmarkEnd w:id="4"/>
      <w:r>
        <w:rPr>
          <w:szCs w:val="24"/>
        </w:rPr>
        <w:br/>
      </w:r>
      <w:r>
        <w:rPr>
          <w:vertAlign w:val="superscript"/>
        </w:rPr>
        <w:t>2</w:t>
      </w:r>
      <w:r w:rsidRPr="008052A4">
        <w:t>Частное учреждение Государственной корпорации по атомной энергии "</w:t>
      </w:r>
      <w:r>
        <w:t>Росатом"</w:t>
      </w:r>
      <w:r w:rsidRPr="0053095F">
        <w:br/>
        <w:t xml:space="preserve">    </w:t>
      </w:r>
      <w:r>
        <w:t xml:space="preserve"> «Проектный центр ИТЭР», г. Москва, Россия</w:t>
      </w:r>
    </w:p>
    <w:p w:rsidR="0053095F" w:rsidRDefault="0053095F" w:rsidP="0053095F">
      <w:pPr>
        <w:pStyle w:val="Zv-bodyreport"/>
      </w:pPr>
      <w:r w:rsidRPr="001164A5">
        <w:t xml:space="preserve">Исследование поведения быстрых ионов плазмы на современных термоядерных установках с магнитным удержанием представляет в настоящее время большой интерес. В </w:t>
      </w:r>
      <w:r>
        <w:t>данной работе показан</w:t>
      </w:r>
      <w:r w:rsidRPr="001164A5">
        <w:t xml:space="preserve"> метод расчёта вклада надтепловой популяции ионов и расчётные спектры наблюдаемых </w:t>
      </w:r>
      <w:r>
        <w:t>быстрых частиц</w:t>
      </w:r>
      <w:r w:rsidRPr="001164A5">
        <w:t>.</w:t>
      </w:r>
      <w:r>
        <w:t xml:space="preserve"> Метод основывается на прямом расчёте скорости реакции и моделировании кинематики реакций слияния.</w:t>
      </w:r>
      <w:r w:rsidRPr="001164A5">
        <w:t xml:space="preserve"> </w:t>
      </w:r>
      <w:r>
        <w:t xml:space="preserve">Использовано представление функции распределения быстрых ионов, полученное путем численного решения уравнения Фоккера-Планка в программном обеспечении </w:t>
      </w:r>
      <w:r>
        <w:rPr>
          <w:lang w:val="en-US"/>
        </w:rPr>
        <w:t>ASTRA</w:t>
      </w:r>
      <w:r>
        <w:t xml:space="preserve"> [1</w:t>
      </w:r>
      <w:r w:rsidRPr="001164A5">
        <w:t xml:space="preserve">]. </w:t>
      </w:r>
    </w:p>
    <w:p w:rsidR="0053095F" w:rsidRDefault="0053095F" w:rsidP="0053095F">
      <w:pPr>
        <w:pStyle w:val="Zv-bodyreport"/>
      </w:pPr>
      <w:r>
        <w:t>Расчет произведен для модельного</w:t>
      </w:r>
      <w:r w:rsidRPr="000E765C">
        <w:t xml:space="preserve"> </w:t>
      </w:r>
      <w:r>
        <w:t>перераспределения ионов</w:t>
      </w:r>
      <w:r w:rsidRPr="000E765C">
        <w:t>, характеризующегося падением плотности</w:t>
      </w:r>
      <w:r w:rsidRPr="00FB1F29">
        <w:t xml:space="preserve"> </w:t>
      </w:r>
      <w:r>
        <w:t>ионов</w:t>
      </w:r>
      <w:r w:rsidRPr="000E765C">
        <w:t xml:space="preserve"> </w:t>
      </w:r>
      <w:r w:rsidRPr="00E57652">
        <w:rPr>
          <w:i/>
          <w:lang w:val="en-US"/>
        </w:rPr>
        <w:t>f</w:t>
      </w:r>
      <w:r w:rsidRPr="00E57652">
        <w:rPr>
          <w:vertAlign w:val="subscript"/>
          <w:lang w:val="en-US"/>
        </w:rPr>
        <w:t>fast</w:t>
      </w:r>
      <w:r w:rsidRPr="001D3BB1">
        <w:t>(</w:t>
      </w:r>
      <w:r w:rsidRPr="00E57652">
        <w:rPr>
          <w:i/>
          <w:lang w:val="en-US"/>
        </w:rPr>
        <w:t>r</w:t>
      </w:r>
      <w:r w:rsidRPr="00E57652">
        <w:t>,</w:t>
      </w:r>
      <w:r w:rsidRPr="00E57652">
        <w:rPr>
          <w:i/>
          <w:lang w:val="en-US"/>
        </w:rPr>
        <w:t>v</w:t>
      </w:r>
      <w:r w:rsidRPr="001D3BB1">
        <w:t>,</w:t>
      </w:r>
      <w:r>
        <w:sym w:font="Symbol" w:char="F06D"/>
      </w:r>
      <w:r w:rsidRPr="00E57652">
        <w:t xml:space="preserve">) = </w:t>
      </w:r>
      <w:r w:rsidRPr="00E57652">
        <w:rPr>
          <w:i/>
          <w:lang w:val="en-US"/>
        </w:rPr>
        <w:t>f</w:t>
      </w:r>
      <w:r w:rsidRPr="00E57652">
        <w:rPr>
          <w:vertAlign w:val="subscript"/>
          <w:lang w:val="en-US"/>
        </w:rPr>
        <w:t>fast</w:t>
      </w:r>
      <w:r w:rsidRPr="00E57652">
        <w:t>(½</w:t>
      </w:r>
      <w:r w:rsidRPr="00E57652">
        <w:rPr>
          <w:i/>
        </w:rPr>
        <w:t xml:space="preserve"> </w:t>
      </w:r>
      <w:r w:rsidRPr="00E57652">
        <w:rPr>
          <w:i/>
          <w:lang w:val="en-US"/>
        </w:rPr>
        <w:t>r</w:t>
      </w:r>
      <w:r w:rsidRPr="00E57652">
        <w:rPr>
          <w:vertAlign w:val="subscript"/>
          <w:lang w:val="en-US"/>
        </w:rPr>
        <w:t>max</w:t>
      </w:r>
      <w:r w:rsidRPr="00E57652">
        <w:t>,</w:t>
      </w:r>
      <w:r w:rsidRPr="00E57652">
        <w:rPr>
          <w:i/>
          <w:lang w:val="en-US"/>
        </w:rPr>
        <w:t>v</w:t>
      </w:r>
      <w:r w:rsidRPr="00E57652">
        <w:t>,</w:t>
      </w:r>
      <w:r>
        <w:sym w:font="Symbol" w:char="F06D"/>
      </w:r>
      <w:r w:rsidRPr="00E57652">
        <w:t xml:space="preserve">), </w:t>
      </w:r>
      <w:r w:rsidRPr="000E765C">
        <w:t xml:space="preserve">в центральной зоне r </w:t>
      </w:r>
      <w:r>
        <w:sym w:font="Symbol" w:char="F0CE"/>
      </w:r>
      <w:r w:rsidRPr="000E765C">
        <w:t xml:space="preserve"> [0;</w:t>
      </w:r>
      <w:r>
        <w:t xml:space="preserve"> </w:t>
      </w:r>
      <w:r w:rsidRPr="00E57652">
        <w:t xml:space="preserve">½ </w:t>
      </w:r>
      <w:r>
        <w:rPr>
          <w:lang w:val="en-US"/>
        </w:rPr>
        <w:t>r</w:t>
      </w:r>
      <w:r w:rsidRPr="000E765C">
        <w:rPr>
          <w:vertAlign w:val="subscript"/>
        </w:rPr>
        <w:t>max</w:t>
      </w:r>
      <w:r w:rsidRPr="000E765C">
        <w:t>]. S</w:t>
      </w:r>
      <w:r w:rsidRPr="001732EE">
        <w:rPr>
          <w:vertAlign w:val="subscript"/>
        </w:rPr>
        <w:t>DTth</w:t>
      </w:r>
      <w:r w:rsidRPr="000E765C">
        <w:t xml:space="preserve"> – энергетический спектр нейтронов, рожденных во взаимодействии тепловых дейтерия и трития, S</w:t>
      </w:r>
      <w:r w:rsidRPr="001732EE">
        <w:rPr>
          <w:vertAlign w:val="subscript"/>
        </w:rPr>
        <w:t>tot</w:t>
      </w:r>
      <w:r w:rsidRPr="000E765C">
        <w:t xml:space="preserve"> полные коллимированные энергетические спектры нейтронов до и после </w:t>
      </w:r>
      <w:r>
        <w:t>перераспределения</w:t>
      </w:r>
      <w:r w:rsidRPr="000E765C">
        <w:t>, S</w:t>
      </w:r>
      <w:r w:rsidRPr="001732EE">
        <w:rPr>
          <w:vertAlign w:val="subscript"/>
        </w:rPr>
        <w:t>DbTth</w:t>
      </w:r>
      <w:r w:rsidRPr="000E765C">
        <w:t xml:space="preserve">– энергетические спектры beam-thermal нейтронов. Для диапазона энергий E &gt; 16 МэВ </w:t>
      </w:r>
      <w:r>
        <w:t>показана возможность</w:t>
      </w:r>
      <w:r w:rsidRPr="000E765C">
        <w:t xml:space="preserve"> спектрометра детектировать перераспределение быстрых ионов, вызва</w:t>
      </w:r>
      <w:r>
        <w:t xml:space="preserve">нное нестабильностями </w:t>
      </w:r>
      <w:r w:rsidRPr="000E765C">
        <w:t>плазмы.</w:t>
      </w:r>
      <w:r>
        <w:t xml:space="preserve"> </w:t>
      </w:r>
    </w:p>
    <w:p w:rsidR="0053095F" w:rsidRPr="001732EE" w:rsidRDefault="0053095F" w:rsidP="0053095F">
      <w:pPr>
        <w:pStyle w:val="Zv-bodyreport"/>
      </w:pPr>
      <w:r>
        <w:t>Важно отметить, что</w:t>
      </w:r>
      <w:r w:rsidRPr="001732EE">
        <w:t xml:space="preserve"> S</w:t>
      </w:r>
      <w:r w:rsidRPr="001732EE">
        <w:rPr>
          <w:vertAlign w:val="subscript"/>
        </w:rPr>
        <w:t>DbTth</w:t>
      </w:r>
      <w:r w:rsidRPr="001732EE">
        <w:t xml:space="preserve"> ~ P</w:t>
      </w:r>
      <w:r w:rsidRPr="001732EE">
        <w:rPr>
          <w:vertAlign w:val="subscript"/>
        </w:rPr>
        <w:t>NBI</w:t>
      </w:r>
      <w:r w:rsidRPr="001732EE">
        <w:t>T</w:t>
      </w:r>
      <w:r w:rsidRPr="001732EE">
        <w:rPr>
          <w:vertAlign w:val="subscript"/>
        </w:rPr>
        <w:t>e</w:t>
      </w:r>
      <w:r w:rsidRPr="001732EE">
        <w:rPr>
          <w:vertAlign w:val="superscript"/>
        </w:rPr>
        <w:t>3/2</w:t>
      </w:r>
      <w:r w:rsidRPr="001732EE">
        <w:t>n</w:t>
      </w:r>
      <w:r w:rsidRPr="001732EE">
        <w:rPr>
          <w:vertAlign w:val="subscript"/>
        </w:rPr>
        <w:t>T</w:t>
      </w:r>
      <w:r w:rsidRPr="001732EE">
        <w:t>/n</w:t>
      </w:r>
      <w:r w:rsidRPr="001732EE">
        <w:rPr>
          <w:vertAlign w:val="subscript"/>
        </w:rPr>
        <w:t>e</w:t>
      </w:r>
      <w:r w:rsidRPr="001732EE">
        <w:t xml:space="preserve"> не зависит от плотности плазмы напрямую, в отличие от максвелловской части, S</w:t>
      </w:r>
      <w:r w:rsidRPr="001732EE">
        <w:rPr>
          <w:vertAlign w:val="subscript"/>
        </w:rPr>
        <w:t xml:space="preserve">DTth </w:t>
      </w:r>
      <w:r w:rsidRPr="001732EE">
        <w:t>~ n</w:t>
      </w:r>
      <w:r w:rsidRPr="001732EE">
        <w:rPr>
          <w:vertAlign w:val="superscript"/>
        </w:rPr>
        <w:t>2</w:t>
      </w:r>
      <w:r w:rsidRPr="001732EE">
        <w:t>. Следовательно, для фазы, характеризующейся низкой плотностью точность оценки центральной ионной температуры может значительно снизиться (T</w:t>
      </w:r>
      <w:r w:rsidRPr="001732EE">
        <w:rPr>
          <w:vertAlign w:val="subscript"/>
        </w:rPr>
        <w:t>iTNS</w:t>
      </w:r>
      <w:r w:rsidRPr="001732EE">
        <w:t xml:space="preserve"> – центральная ионная температура, оцененная по энергетическому диапазону </w:t>
      </w:r>
      <w:r>
        <w:t>спектра нейтронов</w:t>
      </w:r>
      <w:r w:rsidRPr="001732EE">
        <w:t xml:space="preserve"> [14.5;</w:t>
      </w:r>
      <w:r>
        <w:t xml:space="preserve"> </w:t>
      </w:r>
      <w:r w:rsidRPr="001732EE">
        <w:t>15]</w:t>
      </w:r>
      <w:r>
        <w:t xml:space="preserve"> МэВ, отмеченному зеленым на рисунке 2</w:t>
      </w:r>
      <w:r w:rsidRPr="001732EE">
        <w:t>).</w:t>
      </w:r>
    </w:p>
    <w:p w:rsidR="0053095F" w:rsidRPr="001239E8" w:rsidRDefault="0053095F" w:rsidP="0053095F">
      <w:pPr>
        <w:pStyle w:val="Zv-bodyreport"/>
      </w:pPr>
      <w:r w:rsidRPr="007C4F29">
        <w:t>Работа выполнена в рамках государственного контракта от 19 апреля 2018 г. Н.4а.241.19.18.1027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2018 году»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5126"/>
      </w:tblGrid>
      <w:tr w:rsidR="0053095F" w:rsidRPr="003A684F" w:rsidTr="00F95F5E">
        <w:trPr>
          <w:trHeight w:val="3687"/>
        </w:trPr>
        <w:tc>
          <w:tcPr>
            <w:tcW w:w="4621" w:type="dxa"/>
          </w:tcPr>
          <w:p w:rsidR="0053095F" w:rsidRPr="00646D79" w:rsidRDefault="0053095F" w:rsidP="00F95F5E">
            <w:pPr>
              <w:pStyle w:val="Zv-bodyreportcont"/>
            </w:pPr>
            <w:r>
              <w:rPr>
                <w:noProof/>
              </w:rPr>
              <w:drawing>
                <wp:inline distT="0" distB="0" distL="0" distR="0">
                  <wp:extent cx="2790000" cy="1824526"/>
                  <wp:effectExtent l="0" t="0" r="444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re_los_neutrons_eng.png"/>
                          <pic:cNvPicPr/>
                        </pic:nvPicPr>
                        <pic:blipFill rotWithShape="1">
                          <a:blip r:embed="rId7" cstate="print"/>
                          <a:srcRect l="1575" t="10038" r="6715"/>
                          <a:stretch/>
                        </pic:blipFill>
                        <pic:spPr bwMode="auto">
                          <a:xfrm>
                            <a:off x="0" y="0"/>
                            <a:ext cx="2790000" cy="1824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 w:hAnsi="Times New Roman"/>
              </w:rPr>
              <w:t>Рис 1</w:t>
            </w:r>
            <w:r w:rsidRPr="001239E8">
              <w:rPr>
                <w:rFonts w:ascii="Times New Roman" w:hAnsi="Times New Roman"/>
              </w:rPr>
              <w:t>. Сравнение энергетических спектров коллимированных нейтронов до и после срыва (pre-ST, after ST).</w:t>
            </w:r>
          </w:p>
        </w:tc>
        <w:tc>
          <w:tcPr>
            <w:tcW w:w="5126" w:type="dxa"/>
          </w:tcPr>
          <w:p w:rsidR="0053095F" w:rsidRDefault="0053095F" w:rsidP="00F95F5E">
            <w:pPr>
              <w:pStyle w:val="Zv-bodyreportcont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" o:spid="_x0000_s1029" type="#_x0000_t202" style="position:absolute;left:0;text-align:left;margin-left:144.75pt;margin-top:35.55pt;width:1in;height:17.0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" fillcolor="white [3201]" strokecolor="#ddd8c2 [2894]" strokeweight=".5pt">
                  <v:path arrowok="t"/>
                  <v:textbox>
                    <w:txbxContent>
                      <w:p w:rsidR="0053095F" w:rsidRPr="003A684F" w:rsidRDefault="0053095F" w:rsidP="0053095F">
                        <w:pPr>
                          <w:rPr>
                            <w:sz w:val="16"/>
                          </w:rPr>
                        </w:pPr>
                        <w:r w:rsidRPr="00CF04F0">
                          <w:rPr>
                            <w:sz w:val="16"/>
                            <w:lang w:val="en-US"/>
                          </w:rPr>
                          <w:t>T</w:t>
                        </w:r>
                        <w:r w:rsidRPr="00CF04F0">
                          <w:rPr>
                            <w:sz w:val="16"/>
                            <w:vertAlign w:val="subscript"/>
                            <w:lang w:val="en-US"/>
                          </w:rPr>
                          <w:t>1TNS</w:t>
                        </w:r>
                        <w:r w:rsidRPr="00CF04F0">
                          <w:rPr>
                            <w:sz w:val="16"/>
                            <w:lang w:val="en-US"/>
                          </w:rPr>
                          <w:t xml:space="preserve"> = 24.7 </w:t>
                        </w:r>
                        <w:r>
                          <w:rPr>
                            <w:sz w:val="16"/>
                          </w:rPr>
                          <w:t>кэВ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19" o:spid="_x0000_s1026" type="#_x0000_t202" style="position:absolute;left:0;text-align:left;margin-left:63.9pt;margin-top:66.5pt;width:65.05pt;height:17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" fillcolor="white [3201]" strokecolor="#ddd8c2 [2894]" strokeweight=".5pt">
                  <v:path arrowok="t"/>
                  <v:textbox>
                    <w:txbxContent>
                      <w:p w:rsidR="0053095F" w:rsidRPr="003A684F" w:rsidRDefault="0053095F" w:rsidP="0053095F">
                        <w:pPr>
                          <w:rPr>
                            <w:sz w:val="16"/>
                            <w:szCs w:val="20"/>
                          </w:rPr>
                        </w:pPr>
                        <w:r w:rsidRPr="00CF04F0">
                          <w:rPr>
                            <w:sz w:val="16"/>
                            <w:szCs w:val="20"/>
                            <w:lang w:val="en-US"/>
                          </w:rPr>
                          <w:t>T</w:t>
                        </w:r>
                        <w:r w:rsidRPr="00CF04F0">
                          <w:rPr>
                            <w:sz w:val="16"/>
                            <w:szCs w:val="20"/>
                            <w:vertAlign w:val="subscript"/>
                            <w:lang w:val="en-US"/>
                          </w:rPr>
                          <w:t>2TNS</w:t>
                        </w:r>
                        <w:r w:rsidRPr="00CF04F0">
                          <w:rPr>
                            <w:sz w:val="16"/>
                            <w:szCs w:val="20"/>
                            <w:lang w:val="en-US"/>
                          </w:rPr>
                          <w:t xml:space="preserve"> = 30 </w:t>
                        </w:r>
                        <w:r>
                          <w:rPr>
                            <w:sz w:val="16"/>
                            <w:szCs w:val="20"/>
                          </w:rPr>
                          <w:t>кэВ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7" type="#_x0000_t32" style="position:absolute;left:0;text-align:left;margin-left:99.25pt;margin-top:44.4pt;width:17.05pt;height:22.1pt;flip:y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" strokecolor="#4579b8 [3044]">
                  <v:stroke endarrow="block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2" o:spid="_x0000_s1028" type="#_x0000_t32" style="position:absolute;left:0;text-align:left;margin-left:122pt;margin-top:31.75pt;width:37.25pt;height:13.25pt;flip:x 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" strokecolor="#4579b8 [3044]">
                  <v:stroke endarrow="block"/>
                  <o:lock v:ext="edit" shapetype="f"/>
                </v:shape>
              </w:pic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789122" cy="18243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pectr2.png"/>
                          <pic:cNvPicPr/>
                        </pic:nvPicPr>
                        <pic:blipFill rotWithShape="1">
                          <a:blip r:embed="rId8" cstate="print"/>
                          <a:srcRect l="1470" t="9264" r="6499" b="440"/>
                          <a:stretch/>
                        </pic:blipFill>
                        <pic:spPr bwMode="auto">
                          <a:xfrm>
                            <a:off x="0" y="0"/>
                            <a:ext cx="2790000" cy="1824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95F" w:rsidRPr="0034010F" w:rsidRDefault="0053095F" w:rsidP="00F95F5E">
            <w:pPr>
              <w:pStyle w:val="Zv-bodyreportcont"/>
              <w:rPr>
                <w:rFonts w:ascii="Times New Roman" w:hAnsi="Times New Roman"/>
              </w:rPr>
            </w:pPr>
            <w:r w:rsidRPr="001239E8">
              <w:rPr>
                <w:rFonts w:ascii="Times New Roman" w:hAnsi="Times New Roman"/>
              </w:rPr>
              <w:t xml:space="preserve">Рис </w:t>
            </w:r>
            <w:r>
              <w:rPr>
                <w:rFonts w:ascii="Times New Roman" w:hAnsi="Times New Roman"/>
              </w:rPr>
              <w:t>2</w:t>
            </w:r>
            <w:r w:rsidRPr="001239E8">
              <w:rPr>
                <w:rFonts w:ascii="Times New Roman" w:hAnsi="Times New Roman"/>
              </w:rPr>
              <w:t>. Влияние S</w:t>
            </w:r>
            <w:r w:rsidRPr="001239E8">
              <w:rPr>
                <w:rFonts w:ascii="Times New Roman" w:hAnsi="Times New Roman"/>
                <w:vertAlign w:val="subscript"/>
              </w:rPr>
              <w:t>DbTth</w:t>
            </w:r>
            <w:r w:rsidRPr="001239E8">
              <w:rPr>
                <w:rFonts w:ascii="Times New Roman" w:hAnsi="Times New Roman"/>
              </w:rPr>
              <w:t xml:space="preserve"> – «теплового» спектра на оценку центральной температуры ионов, T</w:t>
            </w:r>
            <w:r w:rsidRPr="001239E8">
              <w:rPr>
                <w:rFonts w:ascii="Times New Roman" w:hAnsi="Times New Roman"/>
                <w:vertAlign w:val="subscript"/>
              </w:rPr>
              <w:t>iTNS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1239E8">
              <w:rPr>
                <w:rFonts w:ascii="Times New Roman" w:hAnsi="Times New Roman"/>
              </w:rPr>
              <w:t>= (dlnF/dE)</w:t>
            </w:r>
            <w:r>
              <w:rPr>
                <w:rFonts w:ascii="Times New Roman" w:hAnsi="Times New Roman"/>
                <w:vertAlign w:val="superscript"/>
              </w:rPr>
              <w:t>–</w:t>
            </w:r>
            <w:r w:rsidRPr="001239E8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53095F" w:rsidRPr="003C3AB5" w:rsidRDefault="0053095F" w:rsidP="0053095F">
      <w:pPr>
        <w:pStyle w:val="Zv-TitleReferences-ru"/>
      </w:pPr>
      <w:r w:rsidRPr="003C3AB5">
        <w:t>Литература</w:t>
      </w:r>
    </w:p>
    <w:p w:rsidR="0053095F" w:rsidRPr="001239E8" w:rsidRDefault="0053095F" w:rsidP="0053095F">
      <w:pPr>
        <w:pStyle w:val="Zv-References-ru"/>
        <w:numPr>
          <w:ilvl w:val="0"/>
          <w:numId w:val="1"/>
        </w:numPr>
        <w:rPr>
          <w:lang w:val="en-US"/>
        </w:rPr>
      </w:pPr>
      <w:r w:rsidRPr="0034010F">
        <w:rPr>
          <w:lang w:val="en-US"/>
        </w:rPr>
        <w:t>Polevoi A., Shirai H., Takizuka T. Benchmarking of the NBI block in ASTRA code versus the</w:t>
      </w:r>
      <w:r w:rsidRPr="001164A5">
        <w:rPr>
          <w:lang w:val="en-US"/>
        </w:rPr>
        <w:t xml:space="preserve"> FMC calculations. </w:t>
      </w:r>
      <w:r>
        <w:rPr>
          <w:lang w:val="en-US"/>
        </w:rPr>
        <w:t xml:space="preserve">- </w:t>
      </w:r>
      <w:r w:rsidRPr="001164A5">
        <w:rPr>
          <w:lang w:val="en-US"/>
        </w:rPr>
        <w:t>JAERI Data/Code 97-014, 1997.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64" w:rsidRDefault="00B87064">
      <w:r>
        <w:separator/>
      </w:r>
    </w:p>
  </w:endnote>
  <w:endnote w:type="continuationSeparator" w:id="0">
    <w:p w:rsidR="00B87064" w:rsidRDefault="00B8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7B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7B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95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64" w:rsidRDefault="00B87064">
      <w:r>
        <w:separator/>
      </w:r>
    </w:p>
  </w:footnote>
  <w:footnote w:type="continuationSeparator" w:id="0">
    <w:p w:rsidR="00B87064" w:rsidRDefault="00B87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3095F">
      <w:rPr>
        <w:sz w:val="20"/>
      </w:rPr>
      <w:t>18</w:t>
    </w:r>
    <w:r>
      <w:rPr>
        <w:sz w:val="20"/>
      </w:rPr>
      <w:t xml:space="preserve"> – </w:t>
    </w:r>
    <w:r w:rsidR="0094721E" w:rsidRPr="0053095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F7B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706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095F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87064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F7BD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95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uiPriority w:val="39"/>
    <w:rsid w:val="0053095F"/>
    <w:rPr>
      <w:rFonts w:asciiTheme="minorHAnsi" w:eastAsiaTheme="minorEastAsia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30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ВКЛАДА НАГРЕВНОГО ПУЧКА В ЭНЕРГЕТИЧЕСКИЙ СПЕКТР НЕЙТРОНОВ ТОКАМАКА-РЕАКТОРА ИТЭР</dc:title>
  <dc:creator>sato</dc:creator>
  <cp:lastModifiedBy>Сатунин</cp:lastModifiedBy>
  <cp:revision>1</cp:revision>
  <cp:lastPrinted>1601-01-01T00:00:00Z</cp:lastPrinted>
  <dcterms:created xsi:type="dcterms:W3CDTF">2019-01-18T13:58:00Z</dcterms:created>
  <dcterms:modified xsi:type="dcterms:W3CDTF">2019-01-18T14:02:00Z</dcterms:modified>
</cp:coreProperties>
</file>