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71" w:rsidRPr="00F7451F" w:rsidRDefault="00BB7371" w:rsidP="00BB7371">
      <w:pPr>
        <w:pStyle w:val="Zv-Titlereport"/>
        <w:rPr>
          <w:bCs/>
          <w:iCs/>
        </w:rPr>
      </w:pPr>
      <w:bookmarkStart w:id="0" w:name="_Hlk532906675"/>
      <w:r w:rsidRPr="00CF7F0B">
        <w:t>Демонстрация результатов тестирования рубашки охлаждения детекторов верхней</w:t>
      </w:r>
      <w:r>
        <w:rPr>
          <w:bCs/>
          <w:iCs/>
        </w:rPr>
        <w:t xml:space="preserve"> вертикальной нейтронной камеры</w:t>
      </w:r>
    </w:p>
    <w:bookmarkEnd w:id="0"/>
    <w:p w:rsidR="00BB7371" w:rsidRPr="001A3E57" w:rsidRDefault="00BB7371" w:rsidP="00BB7371">
      <w:pPr>
        <w:pStyle w:val="Zv-Author"/>
      </w:pPr>
      <w:r w:rsidRPr="002F08F4">
        <w:rPr>
          <w:vertAlign w:val="superscript"/>
        </w:rPr>
        <w:t>1</w:t>
      </w:r>
      <w:r w:rsidRPr="00CF7F0B">
        <w:rPr>
          <w:u w:val="single"/>
        </w:rPr>
        <w:t>Таскаев</w:t>
      </w:r>
      <w:r w:rsidRPr="00F7451F">
        <w:rPr>
          <w:u w:val="single"/>
        </w:rPr>
        <w:t xml:space="preserve"> </w:t>
      </w:r>
      <w:r>
        <w:rPr>
          <w:u w:val="single"/>
        </w:rPr>
        <w:t>А.С.</w:t>
      </w:r>
      <w:r w:rsidRPr="002F08F4">
        <w:t>,</w:t>
      </w:r>
      <w:r>
        <w:rPr>
          <w:u w:val="single"/>
        </w:rPr>
        <w:t xml:space="preserve"> </w:t>
      </w:r>
      <w:r w:rsidRPr="00CF7F0B">
        <w:rPr>
          <w:vertAlign w:val="superscript"/>
        </w:rPr>
        <w:t>1</w:t>
      </w:r>
      <w:r w:rsidRPr="00CF7F0B">
        <w:t>Иванцивский</w:t>
      </w:r>
      <w:r w:rsidRPr="00F7451F">
        <w:t xml:space="preserve"> </w:t>
      </w:r>
      <w:r>
        <w:t>М.В.</w:t>
      </w:r>
      <w:r w:rsidRPr="006A4DD3">
        <w:t xml:space="preserve">, </w:t>
      </w:r>
      <w:r w:rsidRPr="006A4DD3">
        <w:rPr>
          <w:vertAlign w:val="superscript"/>
        </w:rPr>
        <w:t>1,3</w:t>
      </w:r>
      <w:r w:rsidRPr="006A4DD3">
        <w:t>Бурдаков</w:t>
      </w:r>
      <w:r w:rsidRPr="00F7451F">
        <w:t xml:space="preserve"> </w:t>
      </w:r>
      <w:r>
        <w:t>А.В.</w:t>
      </w:r>
      <w:r w:rsidRPr="006A4DD3">
        <w:t xml:space="preserve">, </w:t>
      </w:r>
      <w:r w:rsidRPr="006A4DD3">
        <w:rPr>
          <w:vertAlign w:val="superscript"/>
        </w:rPr>
        <w:t>1</w:t>
      </w:r>
      <w:r w:rsidRPr="006A4DD3">
        <w:t>Горбовский</w:t>
      </w:r>
      <w:r w:rsidRPr="00F7451F">
        <w:t xml:space="preserve"> </w:t>
      </w:r>
      <w:r w:rsidRPr="006A4DD3">
        <w:t xml:space="preserve">А.И., </w:t>
      </w:r>
      <w:r w:rsidRPr="006A4DD3">
        <w:rPr>
          <w:vertAlign w:val="superscript"/>
        </w:rPr>
        <w:t>1</w:t>
      </w:r>
      <w:r w:rsidRPr="006A4DD3">
        <w:t>Зайцев</w:t>
      </w:r>
      <w:r w:rsidRPr="00F7451F">
        <w:t xml:space="preserve"> </w:t>
      </w:r>
      <w:r>
        <w:t>Е.К.</w:t>
      </w:r>
      <w:r w:rsidRPr="006A4DD3">
        <w:t xml:space="preserve">, </w:t>
      </w:r>
      <w:r w:rsidRPr="006A4DD3">
        <w:rPr>
          <w:vertAlign w:val="superscript"/>
        </w:rPr>
        <w:t>2</w:t>
      </w:r>
      <w:r w:rsidRPr="006A4DD3">
        <w:t>Звонков</w:t>
      </w:r>
      <w:r w:rsidRPr="00F7451F">
        <w:t xml:space="preserve"> </w:t>
      </w:r>
      <w:r>
        <w:t>А.В.</w:t>
      </w:r>
      <w:r w:rsidRPr="006A4DD3">
        <w:t>,</w:t>
      </w:r>
      <w:r w:rsidRPr="006A4DD3">
        <w:rPr>
          <w:vertAlign w:val="superscript"/>
        </w:rPr>
        <w:t xml:space="preserve"> 1</w:t>
      </w:r>
      <w:r w:rsidRPr="006A4DD3">
        <w:t>Селезнев</w:t>
      </w:r>
      <w:r w:rsidRPr="00F7451F">
        <w:t xml:space="preserve"> </w:t>
      </w:r>
      <w:r w:rsidRPr="006A4DD3">
        <w:t xml:space="preserve">П.А., </w:t>
      </w:r>
      <w:r w:rsidRPr="006A4DD3">
        <w:rPr>
          <w:vertAlign w:val="superscript"/>
        </w:rPr>
        <w:t>1</w:t>
      </w:r>
      <w:r w:rsidRPr="006A4DD3">
        <w:t>Стешов</w:t>
      </w:r>
      <w:r w:rsidRPr="00F7451F">
        <w:t xml:space="preserve"> </w:t>
      </w:r>
      <w:r>
        <w:t>А.Г.</w:t>
      </w:r>
      <w:r w:rsidRPr="006A4DD3">
        <w:t xml:space="preserve">, </w:t>
      </w:r>
      <w:r w:rsidRPr="006A4DD3">
        <w:rPr>
          <w:vertAlign w:val="superscript"/>
        </w:rPr>
        <w:t>1</w:t>
      </w:r>
      <w:r w:rsidRPr="006A4DD3">
        <w:t>Усов</w:t>
      </w:r>
      <w:r w:rsidRPr="00F7451F">
        <w:t xml:space="preserve"> </w:t>
      </w:r>
      <w:r>
        <w:t>П.В.</w:t>
      </w:r>
      <w:r w:rsidRPr="006A4DD3">
        <w:t xml:space="preserve">, </w:t>
      </w:r>
      <w:r w:rsidRPr="006A4DD3">
        <w:rPr>
          <w:vertAlign w:val="superscript"/>
        </w:rPr>
        <w:t>1</w:t>
      </w:r>
      <w:r w:rsidRPr="006A4DD3">
        <w:t>Шиянков</w:t>
      </w:r>
      <w:r w:rsidRPr="00F7451F">
        <w:t xml:space="preserve"> </w:t>
      </w:r>
      <w:r>
        <w:t>С.В.</w:t>
      </w:r>
      <w:r w:rsidRPr="006A4DD3">
        <w:t xml:space="preserve">, </w:t>
      </w:r>
      <w:r w:rsidRPr="006A4DD3">
        <w:rPr>
          <w:vertAlign w:val="superscript"/>
        </w:rPr>
        <w:t>1,5</w:t>
      </w:r>
      <w:r w:rsidRPr="006A4DD3">
        <w:t>Шошин</w:t>
      </w:r>
      <w:r w:rsidR="008179CA">
        <w:rPr>
          <w:lang w:val="en-US"/>
        </w:rPr>
        <w:t> </w:t>
      </w:r>
      <w:r>
        <w:t xml:space="preserve">А.А., </w:t>
      </w:r>
      <w:r>
        <w:rPr>
          <w:vertAlign w:val="superscript"/>
        </w:rPr>
        <w:t>1</w:t>
      </w:r>
      <w:r>
        <w:t>Хомяков</w:t>
      </w:r>
      <w:r w:rsidRPr="00F7451F">
        <w:t xml:space="preserve"> </w:t>
      </w:r>
      <w:r>
        <w:t xml:space="preserve">Е.С., </w:t>
      </w:r>
      <w:r>
        <w:rPr>
          <w:vertAlign w:val="superscript"/>
        </w:rPr>
        <w:t>4</w:t>
      </w:r>
      <w:r>
        <w:t>Смирнов</w:t>
      </w:r>
      <w:r w:rsidRPr="00F7451F">
        <w:t xml:space="preserve"> </w:t>
      </w:r>
      <w:r>
        <w:t xml:space="preserve">А.Б., </w:t>
      </w:r>
      <w:r>
        <w:rPr>
          <w:vertAlign w:val="superscript"/>
        </w:rPr>
        <w:t>4</w:t>
      </w:r>
      <w:r>
        <w:t>Пожилов</w:t>
      </w:r>
      <w:r w:rsidRPr="00F7451F">
        <w:t xml:space="preserve"> </w:t>
      </w:r>
      <w:r>
        <w:t xml:space="preserve">А.А., </w:t>
      </w:r>
      <w:r>
        <w:rPr>
          <w:vertAlign w:val="superscript"/>
        </w:rPr>
        <w:t>4</w:t>
      </w:r>
      <w:r>
        <w:t>Кириенко</w:t>
      </w:r>
      <w:r w:rsidRPr="00F7451F">
        <w:t xml:space="preserve"> </w:t>
      </w:r>
      <w:r>
        <w:t xml:space="preserve">И.Д., </w:t>
      </w:r>
      <w:r>
        <w:rPr>
          <w:vertAlign w:val="superscript"/>
        </w:rPr>
        <w:t>4</w:t>
      </w:r>
      <w:r>
        <w:t>Модестов</w:t>
      </w:r>
      <w:r w:rsidRPr="00F7451F">
        <w:t xml:space="preserve"> </w:t>
      </w:r>
      <w:r>
        <w:t>В.С.</w:t>
      </w:r>
    </w:p>
    <w:p w:rsidR="00BB7371" w:rsidRPr="002D5BA5" w:rsidRDefault="00BB7371" w:rsidP="00BB7371">
      <w:pPr>
        <w:pStyle w:val="Zv-Organization"/>
      </w:pPr>
      <w:r w:rsidRPr="002D5BA5">
        <w:rPr>
          <w:vertAlign w:val="superscript"/>
        </w:rPr>
        <w:t>1</w:t>
      </w:r>
      <w:r w:rsidRPr="002D5BA5">
        <w:t xml:space="preserve">Институт ядерной физики им. Г.И. Будкера СО РАН, г. Новосибирск, Россия, </w:t>
      </w:r>
      <w:r w:rsidRPr="002D5BA5">
        <w:br/>
      </w:r>
      <w:r w:rsidRPr="00BB7371">
        <w:rPr>
          <w:rStyle w:val="a7"/>
          <w:color w:val="auto"/>
          <w:u w:val="none"/>
        </w:rPr>
        <w:t xml:space="preserve">     </w:t>
      </w:r>
      <w:hyperlink r:id="rId7" w:history="1">
        <w:r w:rsidRPr="00025BF6">
          <w:rPr>
            <w:rStyle w:val="a7"/>
          </w:rPr>
          <w:t>A.S.Taskaev@inp.nsk.su</w:t>
        </w:r>
      </w:hyperlink>
      <w:r w:rsidRPr="00BB7371">
        <w:rPr>
          <w:rStyle w:val="a7"/>
          <w:color w:val="auto"/>
          <w:u w:val="none"/>
        </w:rPr>
        <w:br/>
      </w:r>
      <w:r w:rsidRPr="002D5BA5">
        <w:rPr>
          <w:vertAlign w:val="superscript"/>
        </w:rPr>
        <w:t>2</w:t>
      </w:r>
      <w:r w:rsidRPr="002D5BA5">
        <w:t>Частное учреждение ГК «РосАтом» «Проектный центр ИТЭР», г. Москва, Россия</w:t>
      </w:r>
      <w:r w:rsidRPr="002D5BA5">
        <w:br/>
      </w:r>
      <w:r w:rsidRPr="002D5BA5">
        <w:rPr>
          <w:vertAlign w:val="superscript"/>
        </w:rPr>
        <w:t>3</w:t>
      </w:r>
      <w:r w:rsidRPr="002D5BA5">
        <w:t>Новосибирский государственный технический университет, г. Новосибирск, Россия</w:t>
      </w:r>
      <w:r w:rsidRPr="002D5BA5">
        <w:br/>
      </w:r>
      <w:r w:rsidRPr="002D5BA5">
        <w:rPr>
          <w:vertAlign w:val="superscript"/>
        </w:rPr>
        <w:t>4</w:t>
      </w:r>
      <w:r w:rsidRPr="002D5BA5">
        <w:t xml:space="preserve">Санкт-Петербургский государственный политехнический университет, </w:t>
      </w:r>
      <w:r w:rsidRPr="00BB7371">
        <w:br/>
        <w:t xml:space="preserve">     </w:t>
      </w:r>
      <w:r w:rsidRPr="002D5BA5">
        <w:t>г. Санкт-Петербург, Россия</w:t>
      </w:r>
      <w:r w:rsidRPr="002D5BA5">
        <w:br/>
      </w:r>
      <w:r w:rsidRPr="002D5BA5">
        <w:rPr>
          <w:vertAlign w:val="superscript"/>
        </w:rPr>
        <w:t>5</w:t>
      </w:r>
      <w:r w:rsidRPr="002D5BA5">
        <w:t>Новосибирский государственный университет, г. Новосибирск, Россия</w:t>
      </w:r>
    </w:p>
    <w:p w:rsidR="00BB7371" w:rsidRDefault="00BB7371" w:rsidP="00BB7371">
      <w:pPr>
        <w:pStyle w:val="Zv-bodyreport"/>
      </w:pPr>
      <w:r w:rsidRPr="00F6652B">
        <w:t>Вертикальная нейтронная камера для установки ИТЭР будет состоять из двух частей, в каждой из которых будет располагаться по шесть детекторных узлов, объединенных в герметичные диагностические модули, снабженные откачкой и системой водяного охлаждения. Верхняя ВНК будет установлена в верхний порт (ВП) №</w:t>
      </w:r>
      <w:r>
        <w:t> </w:t>
      </w:r>
      <w:r w:rsidRPr="00F6652B">
        <w:t xml:space="preserve">18 и должна являться составной частью ДЗМ этого порта. </w:t>
      </w:r>
    </w:p>
    <w:p w:rsidR="00BB7371" w:rsidRDefault="00BB7371" w:rsidP="00BB7371">
      <w:pPr>
        <w:pStyle w:val="Zv-bodyreport"/>
        <w:rPr>
          <w:b/>
          <w:bCs/>
        </w:rPr>
      </w:pPr>
      <w:r>
        <w:t xml:space="preserve">Для подтверждения работоспособности и выявления технологических трудностей разработанной конструкции системы водяного охлаждения блока детекторов верхней Вертикальной Нейтронной Камеры были произведены макет системы водного охлаждения и технологические макеты элементов конструкции ВНК. </w:t>
      </w:r>
    </w:p>
    <w:p w:rsidR="00BB7371" w:rsidRDefault="00BB7371" w:rsidP="00BB7371">
      <w:pPr>
        <w:pStyle w:val="Zv-bodyreport"/>
      </w:pPr>
      <w:r>
        <w:t>Предоставленный доклад демонстрирует изготовленный макет системы охлаждения ВНК, а также результаты ряда испытаний, проведённых с макетом системы охлаждения.</w:t>
      </w:r>
    </w:p>
    <w:p w:rsidR="00BB7371" w:rsidRDefault="00BB7371" w:rsidP="00BB7371">
      <w:pPr>
        <w:pStyle w:val="Zv-bodyreport"/>
      </w:pPr>
      <w:r>
        <w:t>За прошедший год была переработана конструкция системы водяного охлаждения детекторного модуля Верхней Вертикальной Нейтронной Камеры, изменены 3</w:t>
      </w:r>
      <w:r>
        <w:rPr>
          <w:lang w:val="en-US"/>
        </w:rPr>
        <w:t>D</w:t>
      </w:r>
      <w:r w:rsidRPr="00AE5D58">
        <w:t xml:space="preserve"> </w:t>
      </w:r>
      <w:r>
        <w:t>модели ВНК, системы водяного охлаждения, нейтронная защита, а также модернизирована электрическая коммутация детекторов.</w:t>
      </w:r>
    </w:p>
    <w:p w:rsidR="00BB7371" w:rsidRDefault="00BB7371" w:rsidP="00BB7371">
      <w:pPr>
        <w:pStyle w:val="Zv-bodyreport"/>
      </w:pPr>
      <w:r>
        <w:t xml:space="preserve">Результаты произведенных испытания </w:t>
      </w:r>
      <w:r w:rsidRPr="00F6652B">
        <w:t xml:space="preserve">могут быть использованы при конструировании других </w:t>
      </w:r>
      <w:r>
        <w:t xml:space="preserve">диагностик поставляемы на установку ИТЭР, </w:t>
      </w:r>
      <w:r w:rsidRPr="00583CF7">
        <w:t>а также для больших экспериментальных термоядерных установок типа токамак.</w:t>
      </w:r>
    </w:p>
    <w:p w:rsidR="00654A7B" w:rsidRPr="00BB7371" w:rsidRDefault="00654A7B"/>
    <w:sectPr w:rsidR="00654A7B" w:rsidRPr="00BB737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5D" w:rsidRDefault="00753E5D">
      <w:r>
        <w:separator/>
      </w:r>
    </w:p>
  </w:endnote>
  <w:endnote w:type="continuationSeparator" w:id="0">
    <w:p w:rsidR="00753E5D" w:rsidRDefault="00753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7F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7F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79C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5D" w:rsidRDefault="00753E5D">
      <w:r>
        <w:separator/>
      </w:r>
    </w:p>
  </w:footnote>
  <w:footnote w:type="continuationSeparator" w:id="0">
    <w:p w:rsidR="00753E5D" w:rsidRDefault="00753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BB7371">
      <w:rPr>
        <w:sz w:val="20"/>
      </w:rPr>
      <w:t>18</w:t>
    </w:r>
    <w:r>
      <w:rPr>
        <w:sz w:val="20"/>
      </w:rPr>
      <w:t xml:space="preserve"> – </w:t>
    </w:r>
    <w:r w:rsidR="0094721E" w:rsidRPr="00BB7371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F7F1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79C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53E5D"/>
    <w:rsid w:val="007B6378"/>
    <w:rsid w:val="00802D35"/>
    <w:rsid w:val="008179CA"/>
    <w:rsid w:val="008E2894"/>
    <w:rsid w:val="0094721E"/>
    <w:rsid w:val="00A66876"/>
    <w:rsid w:val="00A71613"/>
    <w:rsid w:val="00AB3459"/>
    <w:rsid w:val="00B622ED"/>
    <w:rsid w:val="00B9584E"/>
    <w:rsid w:val="00BB7371"/>
    <w:rsid w:val="00BD05EF"/>
    <w:rsid w:val="00C103CD"/>
    <w:rsid w:val="00C232A0"/>
    <w:rsid w:val="00CA791E"/>
    <w:rsid w:val="00CE0E75"/>
    <w:rsid w:val="00D47F19"/>
    <w:rsid w:val="00DA4715"/>
    <w:rsid w:val="00DF1C1D"/>
    <w:rsid w:val="00DF7F12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B73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S.Taskae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ДЕМОНСТРАЦИЯ РЕЗУЛЬТАТОВ ТЕСТИРОВАНИЯ РУБАШКИ ОХЛАЖДЕНИЯ ДЕТЕКТОРОВ ВЕРХНЕЙ ВЕРТИКАЛЬНОЙ НЕЙТРОННОЙ КАМЕРЫ</dc:title>
  <dc:creator>sato</dc:creator>
  <cp:lastModifiedBy>Сатунин</cp:lastModifiedBy>
  <cp:revision>2</cp:revision>
  <cp:lastPrinted>1601-01-01T00:00:00Z</cp:lastPrinted>
  <dcterms:created xsi:type="dcterms:W3CDTF">2019-01-16T21:37:00Z</dcterms:created>
  <dcterms:modified xsi:type="dcterms:W3CDTF">2019-01-16T21:43:00Z</dcterms:modified>
</cp:coreProperties>
</file>