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23" w:rsidRPr="00727B32" w:rsidRDefault="00A12823" w:rsidP="00A12823">
      <w:pPr>
        <w:pStyle w:val="Zv-Titlereport"/>
      </w:pPr>
      <w:r w:rsidRPr="00727B32">
        <w:t xml:space="preserve">Плазменно-пучковые испытания вольфрамовых макетов диверторной облицовки </w:t>
      </w:r>
    </w:p>
    <w:p w:rsidR="00A12823" w:rsidRPr="00FF38F1" w:rsidRDefault="00A12823" w:rsidP="00A12823">
      <w:pPr>
        <w:pStyle w:val="Zv-Author"/>
      </w:pPr>
      <w:r w:rsidRPr="00FF38F1">
        <w:rPr>
          <w:vertAlign w:val="superscript"/>
        </w:rPr>
        <w:t>1,3</w:t>
      </w:r>
      <w:r w:rsidRPr="00FF38F1">
        <w:t>Будаев В.П.,</w:t>
      </w:r>
      <w:r>
        <w:t xml:space="preserve"> </w:t>
      </w:r>
      <w:r w:rsidRPr="00FF38F1">
        <w:rPr>
          <w:vertAlign w:val="superscript"/>
        </w:rPr>
        <w:t>1</w:t>
      </w:r>
      <w:r w:rsidRPr="00FF38F1">
        <w:t>Дедов А.В.,</w:t>
      </w:r>
      <w:r>
        <w:t xml:space="preserve"> </w:t>
      </w:r>
      <w:r w:rsidRPr="00FF38F1">
        <w:rPr>
          <w:vertAlign w:val="superscript"/>
        </w:rPr>
        <w:t>1</w:t>
      </w:r>
      <w:r w:rsidRPr="00FF38F1">
        <w:t>Комов А.Т.,</w:t>
      </w:r>
      <w:r>
        <w:t xml:space="preserve"> </w:t>
      </w:r>
      <w:r w:rsidRPr="00FF38F1">
        <w:rPr>
          <w:vertAlign w:val="superscript"/>
        </w:rPr>
        <w:t>1</w:t>
      </w:r>
      <w:r w:rsidRPr="00FF38F1">
        <w:t>Варава А.Н.,</w:t>
      </w:r>
      <w:r>
        <w:t xml:space="preserve"> </w:t>
      </w:r>
      <w:r w:rsidRPr="00FF38F1">
        <w:rPr>
          <w:vertAlign w:val="superscript"/>
        </w:rPr>
        <w:t>1</w:t>
      </w:r>
      <w:r w:rsidRPr="00FF38F1">
        <w:t>Федорович С.Д.,</w:t>
      </w:r>
      <w:r>
        <w:t xml:space="preserve"> </w:t>
      </w:r>
      <w:r w:rsidRPr="00FF38F1">
        <w:rPr>
          <w:vertAlign w:val="superscript"/>
        </w:rPr>
        <w:t>2</w:t>
      </w:r>
      <w:r>
        <w:t>Гиниятулин Р.</w:t>
      </w:r>
      <w:r w:rsidRPr="00FF38F1">
        <w:t xml:space="preserve">Н., </w:t>
      </w:r>
      <w:r w:rsidRPr="00FF38F1">
        <w:rPr>
          <w:vertAlign w:val="superscript"/>
        </w:rPr>
        <w:t>2</w:t>
      </w:r>
      <w:r>
        <w:t>Маханьков А.</w:t>
      </w:r>
      <w:r w:rsidRPr="00FF38F1">
        <w:t xml:space="preserve">Н., </w:t>
      </w:r>
      <w:r w:rsidRPr="00FF38F1">
        <w:rPr>
          <w:vertAlign w:val="superscript"/>
        </w:rPr>
        <w:t>2</w:t>
      </w:r>
      <w:r>
        <w:t>Литуновский Н.</w:t>
      </w:r>
      <w:r w:rsidRPr="00FF38F1">
        <w:t>В.</w:t>
      </w:r>
    </w:p>
    <w:p w:rsidR="00A12823" w:rsidRPr="00A12823" w:rsidRDefault="00A12823" w:rsidP="00A12823">
      <w:pPr>
        <w:pStyle w:val="Zv-Organization"/>
      </w:pPr>
      <w:r w:rsidRPr="00A12823">
        <w:rPr>
          <w:vertAlign w:val="superscript"/>
        </w:rPr>
        <w:t>1</w:t>
      </w:r>
      <w:r w:rsidRPr="00A12823">
        <w:t>Национальный исследовательский университет «МЭИ», г. Москва, Россия,</w:t>
      </w:r>
      <w:r w:rsidRPr="00A12823">
        <w:br/>
        <w:t xml:space="preserve">     </w:t>
      </w:r>
      <w:hyperlink r:id="rId7" w:history="1">
        <w:r w:rsidRPr="00025BF6">
          <w:rPr>
            <w:rStyle w:val="a7"/>
          </w:rPr>
          <w:t>budaev@mail.ru</w:t>
        </w:r>
      </w:hyperlink>
      <w:r w:rsidRPr="00A12823">
        <w:br/>
      </w:r>
      <w:r w:rsidRPr="00A12823">
        <w:rPr>
          <w:vertAlign w:val="superscript"/>
        </w:rPr>
        <w:t>2</w:t>
      </w:r>
      <w:bookmarkStart w:id="0" w:name="_Hlk468703859"/>
      <w:r w:rsidRPr="00A12823">
        <w:t>Научно-исследовательский институт электрофизической аппаратуры</w:t>
      </w:r>
      <w:r w:rsidRPr="00A12823">
        <w:br/>
        <w:t xml:space="preserve">     им. Д.В. Ефремова</w:t>
      </w:r>
      <w:bookmarkEnd w:id="0"/>
      <w:r w:rsidRPr="00A12823">
        <w:t>, г. Санкт-Петербург, Россия</w:t>
      </w:r>
      <w:r w:rsidRPr="00A12823">
        <w:br/>
      </w:r>
      <w:r w:rsidRPr="00A12823">
        <w:rPr>
          <w:vertAlign w:val="superscript"/>
        </w:rPr>
        <w:t>3</w:t>
      </w:r>
      <w:r w:rsidRPr="00A12823">
        <w:t>НИЦ «Курчатовский институт», г. Москва, Россия</w:t>
      </w:r>
    </w:p>
    <w:p w:rsidR="00A12823" w:rsidRPr="00A12823" w:rsidRDefault="00A12823" w:rsidP="00A12823">
      <w:pPr>
        <w:pStyle w:val="Zv-bodyreport"/>
      </w:pPr>
      <w:r w:rsidRPr="00A12823">
        <w:rPr>
          <w:rStyle w:val="citation"/>
          <w:szCs w:val="23"/>
        </w:rPr>
        <w:t>Тепловые нагрузки на вольфрамовые пластины облицовки дивертора в ИТЭР в стационарной стадии разряда могут достигать величины 10 МВт</w:t>
      </w:r>
      <w:r w:rsidRPr="00A12823">
        <w:sym w:font="Symbol" w:char="F0D7"/>
      </w:r>
      <w:r w:rsidRPr="00A12823">
        <w:t>м−2, при медленных переходных процессах (в течение 10 сек)</w:t>
      </w:r>
      <w:r w:rsidRPr="00A12823">
        <w:rPr>
          <w:rStyle w:val="citation"/>
          <w:szCs w:val="23"/>
        </w:rPr>
        <w:t xml:space="preserve"> достигают величины 20 МВт</w:t>
      </w:r>
      <w:r w:rsidRPr="00A12823">
        <w:sym w:font="Symbol" w:char="F0D7"/>
      </w:r>
      <w:r w:rsidRPr="00A12823">
        <w:t>м−2</w:t>
      </w:r>
      <w:bookmarkStart w:id="1" w:name="_GoBack"/>
      <w:bookmarkEnd w:id="1"/>
      <w:r w:rsidRPr="00A12823">
        <w:rPr>
          <w:rStyle w:val="citation"/>
          <w:szCs w:val="23"/>
        </w:rPr>
        <w:t>, а при срывах и ЭЛМах импульсные нагрузки будут значительно увеличиваться (cм. [1]), что может привести к значительному перегреву и даже к плавлению вольфрама.</w:t>
      </w:r>
      <w:r w:rsidRPr="00A12823">
        <w:t xml:space="preserve"> Требуются масштабные испытания макетов и прототипов дивертора. Исключительно важным представляется обеспечить адекватные условия пучковой и плазменной нагрузки на вольфрам [1] и разработать методы эффективного охлаждения диверторных модулей. </w:t>
      </w:r>
    </w:p>
    <w:p w:rsidR="00A12823" w:rsidRPr="00A12823" w:rsidRDefault="00A12823" w:rsidP="00A12823">
      <w:pPr>
        <w:pStyle w:val="Zv-bodyreport"/>
      </w:pPr>
      <w:r w:rsidRPr="00A12823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6.75pt;margin-top:24.2pt;width:306.1pt;height:60.85pt;z-index:251660288;mso-height-percent:200;mso-height-percent:200;mso-width-relative:margin;mso-height-relative:margin" stroked="f">
            <v:textbox style="mso-fit-shape-to-text:t">
              <w:txbxContent>
                <w:p w:rsidR="00A12823" w:rsidRDefault="00A12823">
                  <w:r w:rsidRPr="00C70404">
                    <w:rPr>
                      <w:sz w:val="23"/>
                      <w:szCs w:val="23"/>
                    </w:rPr>
                    <w:t>Рис.1. Вольфрамовый макет диверторной облицовки из материалов ИТЭР, вольфрамовые пластины 20</w:t>
                  </w:r>
                  <w:r w:rsidRPr="00C70404">
                    <w:rPr>
                      <w:sz w:val="23"/>
                      <w:szCs w:val="23"/>
                      <w:lang w:val="en-US"/>
                    </w:rPr>
                    <w:t> </w:t>
                  </w:r>
                  <w:r w:rsidRPr="00C70404">
                    <w:rPr>
                      <w:sz w:val="23"/>
                      <w:szCs w:val="23"/>
                    </w:rPr>
                    <w:t>х</w:t>
                  </w:r>
                  <w:r w:rsidRPr="00C70404">
                    <w:rPr>
                      <w:sz w:val="23"/>
                      <w:szCs w:val="23"/>
                      <w:lang w:val="en-US"/>
                    </w:rPr>
                    <w:t> </w:t>
                  </w:r>
                  <w:r w:rsidRPr="00C70404">
                    <w:rPr>
                      <w:sz w:val="23"/>
                      <w:szCs w:val="23"/>
                    </w:rPr>
                    <w:t>20</w:t>
                  </w:r>
                  <w:r w:rsidRPr="00C70404">
                    <w:rPr>
                      <w:sz w:val="23"/>
                      <w:szCs w:val="23"/>
                      <w:lang w:val="en-US"/>
                    </w:rPr>
                    <w:t> </w:t>
                  </w:r>
                  <w:r w:rsidRPr="00C70404">
                    <w:rPr>
                      <w:sz w:val="23"/>
                      <w:szCs w:val="23"/>
                    </w:rPr>
                    <w:t>х</w:t>
                  </w:r>
                  <w:r w:rsidRPr="00C70404">
                    <w:rPr>
                      <w:sz w:val="23"/>
                      <w:szCs w:val="23"/>
                      <w:lang w:val="en-US"/>
                    </w:rPr>
                    <w:t> </w:t>
                  </w:r>
                  <w:r w:rsidRPr="00C70404">
                    <w:rPr>
                      <w:sz w:val="23"/>
                      <w:szCs w:val="23"/>
                    </w:rPr>
                    <w:t xml:space="preserve">8 мм припаяны на подложку из бронзы </w:t>
                  </w:r>
                  <w:r w:rsidRPr="00C70404">
                    <w:rPr>
                      <w:bCs/>
                      <w:sz w:val="23"/>
                      <w:szCs w:val="23"/>
                    </w:rPr>
                    <w:t>CuCrZr</w:t>
                  </w:r>
                  <w:r w:rsidRPr="00C70404">
                    <w:rPr>
                      <w:sz w:val="23"/>
                      <w:szCs w:val="23"/>
                    </w:rPr>
                    <w:t>, с каналом охлаждения диаметром 14 мм.</w:t>
                  </w:r>
                </w:p>
              </w:txbxContent>
            </v:textbox>
            <w10:anchorlock/>
          </v:shape>
        </w:pict>
      </w:r>
      <w:r>
        <w:rPr>
          <w:noProof/>
        </w:rPr>
        <w:drawing>
          <wp:anchor distT="144145" distB="144145" distL="114300" distR="114300" simplePos="0" relativeHeight="251661312" behindDoc="0" locked="1" layoutInCell="1" allowOverlap="1">
            <wp:simplePos x="0" y="0"/>
            <wp:positionH relativeFrom="column">
              <wp:posOffset>51435</wp:posOffset>
            </wp:positionH>
            <wp:positionV relativeFrom="paragraph">
              <wp:posOffset>248285</wp:posOffset>
            </wp:positionV>
            <wp:extent cx="1876425" cy="1000125"/>
            <wp:effectExtent l="19050" t="0" r="9525" b="0"/>
            <wp:wrapTopAndBottom/>
            <wp:docPr id="1" name="Рисунок 1" descr="Ри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1.jpg"/>
                    <pic:cNvPicPr/>
                  </pic:nvPicPr>
                  <pic:blipFill>
                    <a:blip r:embed="rId8" cstate="print"/>
                    <a:srcRect r="74730" b="9099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2823">
        <w:t xml:space="preserve">Для плазменно-пучковых испытаний в НИИЭФА им. Ефремова были разработаны и изготовлены водоохлаждаемые макеты с вольфрамовой облицовкой, рис. 1. Использовался вольфрам марки ВМ-П, изготовленный по спецификации ИТЭР (см. [1]). В НИУ «МЭИ» проводятся комбинированные испытания таких водоохлаждаемых макетов с вольфрамовой облицовкой в комбинированной схеме плазменно-пучковых испытаний – (1) термоциклические испытания в установке с электронным пучком с нагрузкой от 5 до 40 МВт/м2, при испытаниях обеспечивается охлаждение водным потоком; и затем (2) испытание в плазменной установке ПЛМ [2] стационарными плазменными нагрузками 0,5 – 1 МВт/м2 и более. Такие комбинированные испытания проводятся впервые и моделируют переменную нагрузку на диверторные пластины в ИТЭР в стационарных разрядах с ЭЛМ неустойчивостями. Плазменные испытания в установке ПЛМ [2], которая представляет собой линейную систему с мультикасповой схемой магнитного удержания плазмы, проводятся впервые. Особенность такой установки – стационарный многочасовой разряд. Параметры плазмы в этой установке, плотность электронов – более 1012 см–3, температура электронов – несколько эВ, подобны параметрам пристеночной плазмы в токамаке, что в совокупности с условием стационарной многочасовой нагрузки на мишень создает адекватные модельные условия плазменных испытаний термоядерных материалов. Полученные результаты таких испытаний представляют интерес для оценки эрозии вольфрама в термоядерном реакторе, в том числе, в ИТЭР, ТИН и ДЕМО. </w:t>
      </w:r>
    </w:p>
    <w:p w:rsidR="00A12823" w:rsidRPr="00C70404" w:rsidRDefault="00A12823" w:rsidP="00A12823">
      <w:pPr>
        <w:pStyle w:val="Zv-TitleReferences-ru"/>
      </w:pPr>
      <w:r w:rsidRPr="00A12823">
        <w:t>Литература</w:t>
      </w:r>
    </w:p>
    <w:p w:rsidR="00A12823" w:rsidRPr="00A12823" w:rsidRDefault="00A12823" w:rsidP="00A12823">
      <w:pPr>
        <w:pStyle w:val="Zv-References-ru"/>
      </w:pPr>
      <w:r w:rsidRPr="00A12823">
        <w:t>Будаев В.П. ВАНТ сер. Термоядерный синтез, 38, 4, 5 (2015).</w:t>
      </w:r>
    </w:p>
    <w:p w:rsidR="00A12823" w:rsidRPr="00A12823" w:rsidRDefault="00A12823" w:rsidP="00A12823">
      <w:pPr>
        <w:pStyle w:val="Zv-References-ru"/>
      </w:pPr>
      <w:r w:rsidRPr="00A12823">
        <w:t>Будаев В.П. и др. ВАНТ сер. Термоядерный синтез, 40, 3, 23 (2017).</w:t>
      </w:r>
    </w:p>
    <w:sectPr w:rsidR="00A12823" w:rsidRPr="00A1282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59" w:rsidRDefault="00473459">
      <w:r>
        <w:separator/>
      </w:r>
    </w:p>
  </w:endnote>
  <w:endnote w:type="continuationSeparator" w:id="0">
    <w:p w:rsidR="00473459" w:rsidRDefault="00473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E737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28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59" w:rsidRDefault="00473459">
      <w:r>
        <w:separator/>
      </w:r>
    </w:p>
  </w:footnote>
  <w:footnote w:type="continuationSeparator" w:id="0">
    <w:p w:rsidR="00473459" w:rsidRDefault="004734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12823">
      <w:rPr>
        <w:sz w:val="20"/>
      </w:rPr>
      <w:t>18</w:t>
    </w:r>
    <w:r>
      <w:rPr>
        <w:sz w:val="20"/>
      </w:rPr>
      <w:t xml:space="preserve"> – </w:t>
    </w:r>
    <w:r w:rsidR="0094721E" w:rsidRPr="00A12823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E737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 style="mso-height-percent:200;mso-width-relative:margin;mso-height-relative:margin" fillcolor="white">
      <v:fill color="white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345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73459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9E737E"/>
    <w:rsid w:val="00A12823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8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12823"/>
    <w:rPr>
      <w:color w:val="0000FF" w:themeColor="hyperlink"/>
      <w:u w:val="single"/>
    </w:rPr>
  </w:style>
  <w:style w:type="paragraph" w:customStyle="1" w:styleId="BodyL">
    <w:name w:val="BodyL."/>
    <w:basedOn w:val="a"/>
    <w:rsid w:val="00A12823"/>
    <w:pPr>
      <w:spacing w:line="360" w:lineRule="auto"/>
      <w:ind w:firstLine="567"/>
      <w:jc w:val="both"/>
    </w:pPr>
    <w:rPr>
      <w:szCs w:val="20"/>
      <w:lang w:eastAsia="en-US"/>
    </w:rPr>
  </w:style>
  <w:style w:type="paragraph" w:customStyle="1" w:styleId="Default">
    <w:name w:val="Default"/>
    <w:rsid w:val="00A1282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itation">
    <w:name w:val="citation"/>
    <w:uiPriority w:val="99"/>
    <w:rsid w:val="00A12823"/>
  </w:style>
  <w:style w:type="paragraph" w:styleId="a8">
    <w:name w:val="Balloon Text"/>
    <w:basedOn w:val="a"/>
    <w:link w:val="a9"/>
    <w:rsid w:val="00A128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128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dae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13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ПЛАЗМЕННО-ПУЧКОВЫЕ ИСПЫТАНИЯ ВОЛЬФРАМОВЫХ МАКЕТОВ ДИВЕРТОРНОЙ ОБЛИЦОВКИ</dc:title>
  <dc:creator>sato</dc:creator>
  <cp:lastModifiedBy>Сатунин</cp:lastModifiedBy>
  <cp:revision>1</cp:revision>
  <cp:lastPrinted>1601-01-01T00:00:00Z</cp:lastPrinted>
  <dcterms:created xsi:type="dcterms:W3CDTF">2019-01-16T12:06:00Z</dcterms:created>
  <dcterms:modified xsi:type="dcterms:W3CDTF">2019-01-16T12:19:00Z</dcterms:modified>
</cp:coreProperties>
</file>