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5631" w:rsidRDefault="00AE5631" w:rsidP="00AE5631">
      <w:pPr>
        <w:pStyle w:val="Zv-Titlereport"/>
        <w:rPr>
          <w:lang w:val="en-US"/>
        </w:rPr>
      </w:pPr>
      <w:r>
        <w:rPr>
          <w:lang w:val="en-US"/>
        </w:rPr>
        <w:t>Preliminary design of</w:t>
      </w:r>
      <w:r w:rsidRPr="001E3B87">
        <w:rPr>
          <w:lang w:val="en-US"/>
        </w:rPr>
        <w:t xml:space="preserve"> UP</w:t>
      </w:r>
      <w:r w:rsidRPr="00C7523C">
        <w:rPr>
          <w:lang w:val="en-US"/>
        </w:rPr>
        <w:t xml:space="preserve"> </w:t>
      </w:r>
      <w:r w:rsidRPr="001E3B87">
        <w:rPr>
          <w:lang w:val="en-US"/>
        </w:rPr>
        <w:t>#02 and UP</w:t>
      </w:r>
      <w:r w:rsidRPr="00C7523C">
        <w:rPr>
          <w:lang w:val="en-US"/>
        </w:rPr>
        <w:t xml:space="preserve"> </w:t>
      </w:r>
      <w:r w:rsidRPr="001E3B87">
        <w:rPr>
          <w:lang w:val="en-US"/>
        </w:rPr>
        <w:t>#08 INTEGRATION</w:t>
      </w:r>
    </w:p>
    <w:p w:rsidR="00AE5631" w:rsidRPr="00C7523C" w:rsidRDefault="00AE5631" w:rsidP="00AE5631">
      <w:pPr>
        <w:pStyle w:val="Zv-Author"/>
        <w:rPr>
          <w:lang w:val="en-US"/>
        </w:rPr>
      </w:pPr>
      <w:r w:rsidRPr="00C7523C">
        <w:rPr>
          <w:vertAlign w:val="superscript"/>
          <w:lang w:val="en-US"/>
        </w:rPr>
        <w:t>1</w:t>
      </w:r>
      <w:r>
        <w:rPr>
          <w:lang w:val="en-US"/>
        </w:rPr>
        <w:t>Alexandrov</w:t>
      </w:r>
      <w:r w:rsidRPr="00C7523C">
        <w:rPr>
          <w:lang w:val="en-US"/>
        </w:rPr>
        <w:t xml:space="preserve"> </w:t>
      </w:r>
      <w:r>
        <w:rPr>
          <w:lang w:val="en-US"/>
        </w:rPr>
        <w:t>E.V.</w:t>
      </w:r>
      <w:r w:rsidRPr="00210EC3">
        <w:rPr>
          <w:lang w:val="en-US"/>
        </w:rPr>
        <w:t xml:space="preserve">, </w:t>
      </w:r>
      <w:r w:rsidRPr="00C7523C">
        <w:rPr>
          <w:vertAlign w:val="superscript"/>
          <w:lang w:val="en-US"/>
        </w:rPr>
        <w:t>2</w:t>
      </w:r>
      <w:r w:rsidRPr="007827BA">
        <w:rPr>
          <w:vertAlign w:val="superscript"/>
          <w:lang w:val="en-US"/>
        </w:rPr>
        <w:t>,4</w:t>
      </w:r>
      <w:r>
        <w:rPr>
          <w:lang w:val="en-US"/>
        </w:rPr>
        <w:t>Burdakov</w:t>
      </w:r>
      <w:r w:rsidRPr="00C7523C">
        <w:rPr>
          <w:lang w:val="en-US"/>
        </w:rPr>
        <w:t xml:space="preserve"> </w:t>
      </w:r>
      <w:r>
        <w:rPr>
          <w:lang w:val="en-US"/>
        </w:rPr>
        <w:t>A.V</w:t>
      </w:r>
      <w:r w:rsidR="000F6CBD">
        <w:rPr>
          <w:lang w:val="en-US"/>
        </w:rPr>
        <w:t>.</w:t>
      </w:r>
      <w:r w:rsidRPr="00210EC3">
        <w:rPr>
          <w:lang w:val="en-US"/>
        </w:rPr>
        <w:t xml:space="preserve">, </w:t>
      </w:r>
      <w:r>
        <w:rPr>
          <w:vertAlign w:val="superscript"/>
          <w:lang w:val="en-US"/>
        </w:rPr>
        <w:t>3</w:t>
      </w:r>
      <w:r w:rsidRPr="000657DC">
        <w:rPr>
          <w:lang w:val="en-US"/>
        </w:rPr>
        <w:t>Buslakov</w:t>
      </w:r>
      <w:r w:rsidRPr="00C7523C">
        <w:rPr>
          <w:lang w:val="en-US"/>
        </w:rPr>
        <w:t xml:space="preserve"> </w:t>
      </w:r>
      <w:r>
        <w:rPr>
          <w:lang w:val="en-US"/>
        </w:rPr>
        <w:t>I.V.</w:t>
      </w:r>
      <w:r w:rsidRPr="00210EC3">
        <w:rPr>
          <w:lang w:val="en-US"/>
        </w:rPr>
        <w:t xml:space="preserve">, </w:t>
      </w:r>
      <w:r w:rsidRPr="00C7523C">
        <w:rPr>
          <w:vertAlign w:val="superscript"/>
          <w:lang w:val="en-US"/>
        </w:rPr>
        <w:t>2</w:t>
      </w:r>
      <w:r w:rsidRPr="000657DC">
        <w:rPr>
          <w:lang w:val="en-US"/>
        </w:rPr>
        <w:t>Gorbovsky</w:t>
      </w:r>
      <w:r w:rsidRPr="00C7523C">
        <w:rPr>
          <w:lang w:val="en-US"/>
        </w:rPr>
        <w:t xml:space="preserve"> </w:t>
      </w:r>
      <w:r>
        <w:rPr>
          <w:lang w:val="en-US"/>
        </w:rPr>
        <w:t>A.I.</w:t>
      </w:r>
      <w:r w:rsidRPr="00210EC3">
        <w:rPr>
          <w:lang w:val="en-US"/>
        </w:rPr>
        <w:t xml:space="preserve">, </w:t>
      </w:r>
      <w:r w:rsidRPr="00C7523C">
        <w:rPr>
          <w:vertAlign w:val="superscript"/>
          <w:lang w:val="en-US"/>
        </w:rPr>
        <w:t>2</w:t>
      </w:r>
      <w:r w:rsidRPr="000657DC">
        <w:rPr>
          <w:lang w:val="en-US"/>
        </w:rPr>
        <w:t>Zaitsev</w:t>
      </w:r>
      <w:r w:rsidRPr="00C7523C">
        <w:rPr>
          <w:lang w:val="en-US"/>
        </w:rPr>
        <w:t xml:space="preserve"> </w:t>
      </w:r>
      <w:r>
        <w:rPr>
          <w:lang w:val="en-US"/>
        </w:rPr>
        <w:t>E.K.</w:t>
      </w:r>
      <w:r w:rsidRPr="00210EC3">
        <w:rPr>
          <w:lang w:val="en-US"/>
        </w:rPr>
        <w:t xml:space="preserve">, </w:t>
      </w:r>
      <w:r w:rsidRPr="00C7523C">
        <w:rPr>
          <w:vertAlign w:val="superscript"/>
          <w:lang w:val="en-US"/>
        </w:rPr>
        <w:t>2</w:t>
      </w:r>
      <w:r w:rsidRPr="000657DC">
        <w:rPr>
          <w:lang w:val="en-US"/>
        </w:rPr>
        <w:t>Ivantsivsk</w:t>
      </w:r>
      <w:r>
        <w:rPr>
          <w:lang w:val="en-US"/>
        </w:rPr>
        <w:t>i</w:t>
      </w:r>
      <w:r w:rsidRPr="000657DC">
        <w:rPr>
          <w:lang w:val="en-US"/>
        </w:rPr>
        <w:t>y</w:t>
      </w:r>
      <w:r w:rsidRPr="00C7523C">
        <w:rPr>
          <w:lang w:val="en-US"/>
        </w:rPr>
        <w:t xml:space="preserve"> </w:t>
      </w:r>
      <w:r>
        <w:rPr>
          <w:lang w:val="en-US"/>
        </w:rPr>
        <w:t>M.V.</w:t>
      </w:r>
      <w:r w:rsidRPr="00210EC3">
        <w:rPr>
          <w:lang w:val="en-US"/>
        </w:rPr>
        <w:t>,</w:t>
      </w:r>
      <w:r w:rsidRPr="007827BA">
        <w:rPr>
          <w:lang w:val="en-US"/>
        </w:rPr>
        <w:t xml:space="preserve"> </w:t>
      </w:r>
      <w:r>
        <w:rPr>
          <w:vertAlign w:val="superscript"/>
          <w:lang w:val="en-US"/>
        </w:rPr>
        <w:t>3</w:t>
      </w:r>
      <w:r w:rsidRPr="007827BA">
        <w:rPr>
          <w:lang w:val="en-US"/>
        </w:rPr>
        <w:t>Kirienko</w:t>
      </w:r>
      <w:r w:rsidRPr="00C7523C">
        <w:rPr>
          <w:lang w:val="en-US"/>
        </w:rPr>
        <w:t xml:space="preserve"> </w:t>
      </w:r>
      <w:r>
        <w:rPr>
          <w:lang w:val="en-US"/>
        </w:rPr>
        <w:t>I.D.,</w:t>
      </w:r>
      <w:r w:rsidRPr="00210EC3">
        <w:rPr>
          <w:lang w:val="en-US"/>
        </w:rPr>
        <w:t xml:space="preserve"> </w:t>
      </w:r>
      <w:r w:rsidRPr="00836DE2">
        <w:rPr>
          <w:vertAlign w:val="superscript"/>
          <w:lang w:val="en-US"/>
        </w:rPr>
        <w:t>2</w:t>
      </w:r>
      <w:r w:rsidRPr="000657DC">
        <w:rPr>
          <w:u w:val="single"/>
          <w:lang w:val="en-US"/>
        </w:rPr>
        <w:t>Listopad</w:t>
      </w:r>
      <w:r w:rsidRPr="00C7523C">
        <w:rPr>
          <w:u w:val="single"/>
          <w:lang w:val="en-US"/>
        </w:rPr>
        <w:t xml:space="preserve"> </w:t>
      </w:r>
      <w:r>
        <w:rPr>
          <w:u w:val="single"/>
          <w:lang w:val="en-US"/>
        </w:rPr>
        <w:t>A.A.</w:t>
      </w:r>
      <w:r w:rsidRPr="00210EC3">
        <w:rPr>
          <w:lang w:val="en-US"/>
        </w:rPr>
        <w:t xml:space="preserve">, </w:t>
      </w:r>
      <w:r>
        <w:rPr>
          <w:vertAlign w:val="superscript"/>
          <w:lang w:val="en-US"/>
        </w:rPr>
        <w:t>3</w:t>
      </w:r>
      <w:r>
        <w:rPr>
          <w:lang w:val="en-US"/>
        </w:rPr>
        <w:t>Login</w:t>
      </w:r>
      <w:r w:rsidRPr="000657DC">
        <w:rPr>
          <w:lang w:val="en-US"/>
        </w:rPr>
        <w:t>ov</w:t>
      </w:r>
      <w:r w:rsidRPr="00C7523C">
        <w:rPr>
          <w:lang w:val="en-US"/>
        </w:rPr>
        <w:t xml:space="preserve"> </w:t>
      </w:r>
      <w:r>
        <w:rPr>
          <w:lang w:val="en-US"/>
        </w:rPr>
        <w:t>I.N.</w:t>
      </w:r>
      <w:r w:rsidRPr="00210EC3">
        <w:rPr>
          <w:lang w:val="en-US"/>
        </w:rPr>
        <w:t>,</w:t>
      </w:r>
      <w:r>
        <w:rPr>
          <w:lang w:val="en-US"/>
        </w:rPr>
        <w:t xml:space="preserve"> </w:t>
      </w:r>
      <w:r>
        <w:rPr>
          <w:vertAlign w:val="superscript"/>
          <w:lang w:val="en-US"/>
        </w:rPr>
        <w:t>3</w:t>
      </w:r>
      <w:r w:rsidRPr="007827BA">
        <w:rPr>
          <w:lang w:val="en-US"/>
        </w:rPr>
        <w:t>Lobachev</w:t>
      </w:r>
      <w:r w:rsidRPr="00C7523C">
        <w:rPr>
          <w:lang w:val="en-US"/>
        </w:rPr>
        <w:t xml:space="preserve"> </w:t>
      </w:r>
      <w:r>
        <w:rPr>
          <w:lang w:val="en-US"/>
        </w:rPr>
        <w:t xml:space="preserve">A.M., </w:t>
      </w:r>
      <w:r w:rsidRPr="00C7523C">
        <w:rPr>
          <w:vertAlign w:val="superscript"/>
          <w:lang w:val="en-US"/>
        </w:rPr>
        <w:t>2</w:t>
      </w:r>
      <w:r>
        <w:rPr>
          <w:lang w:val="en-US"/>
        </w:rPr>
        <w:t>Manaenkova</w:t>
      </w:r>
      <w:r w:rsidRPr="00C7523C">
        <w:rPr>
          <w:lang w:val="en-US"/>
        </w:rPr>
        <w:t xml:space="preserve"> </w:t>
      </w:r>
      <w:r>
        <w:rPr>
          <w:lang w:val="en-US"/>
        </w:rPr>
        <w:t>Yu.A.</w:t>
      </w:r>
      <w:r w:rsidRPr="00210EC3">
        <w:rPr>
          <w:lang w:val="en-US"/>
        </w:rPr>
        <w:t xml:space="preserve">, </w:t>
      </w:r>
      <w:r>
        <w:rPr>
          <w:vertAlign w:val="superscript"/>
          <w:lang w:val="en-US"/>
        </w:rPr>
        <w:t>3</w:t>
      </w:r>
      <w:r w:rsidRPr="000657DC">
        <w:rPr>
          <w:lang w:val="en-US"/>
        </w:rPr>
        <w:t>Modestov</w:t>
      </w:r>
      <w:r w:rsidRPr="00C7523C">
        <w:rPr>
          <w:lang w:val="en-US"/>
        </w:rPr>
        <w:t xml:space="preserve"> </w:t>
      </w:r>
      <w:r>
        <w:rPr>
          <w:lang w:val="en-US"/>
        </w:rPr>
        <w:t>V.S.</w:t>
      </w:r>
      <w:r w:rsidRPr="00210EC3">
        <w:rPr>
          <w:lang w:val="en-US"/>
        </w:rPr>
        <w:t xml:space="preserve">, </w:t>
      </w:r>
      <w:r w:rsidRPr="00C7523C">
        <w:rPr>
          <w:vertAlign w:val="superscript"/>
          <w:lang w:val="en-US"/>
        </w:rPr>
        <w:t>2</w:t>
      </w:r>
      <w:r>
        <w:rPr>
          <w:lang w:val="en-US"/>
        </w:rPr>
        <w:t>Seleznev</w:t>
      </w:r>
      <w:r w:rsidRPr="00C7523C">
        <w:rPr>
          <w:lang w:val="en-US"/>
        </w:rPr>
        <w:t xml:space="preserve"> </w:t>
      </w:r>
      <w:r>
        <w:rPr>
          <w:lang w:val="en-US"/>
        </w:rPr>
        <w:t>P.A.</w:t>
      </w:r>
      <w:r w:rsidRPr="00210EC3">
        <w:rPr>
          <w:lang w:val="en-US"/>
        </w:rPr>
        <w:t xml:space="preserve">, </w:t>
      </w:r>
      <w:r>
        <w:rPr>
          <w:vertAlign w:val="superscript"/>
          <w:lang w:val="en-US"/>
        </w:rPr>
        <w:t>3</w:t>
      </w:r>
      <w:r>
        <w:rPr>
          <w:lang w:val="en-US"/>
        </w:rPr>
        <w:t>Shagnie</w:t>
      </w:r>
      <w:r w:rsidRPr="000657DC">
        <w:rPr>
          <w:lang w:val="en-US"/>
        </w:rPr>
        <w:t>v</w:t>
      </w:r>
      <w:r w:rsidR="00FB562C" w:rsidRPr="00FB562C">
        <w:rPr>
          <w:lang w:val="en-US"/>
        </w:rPr>
        <w:t xml:space="preserve"> </w:t>
      </w:r>
      <w:r w:rsidR="00FB562C">
        <w:rPr>
          <w:lang w:val="en-US"/>
        </w:rPr>
        <w:t>O.B.</w:t>
      </w:r>
      <w:r w:rsidRPr="00210EC3">
        <w:rPr>
          <w:lang w:val="en-US"/>
        </w:rPr>
        <w:t xml:space="preserve">, </w:t>
      </w:r>
      <w:r w:rsidRPr="00C7523C">
        <w:rPr>
          <w:vertAlign w:val="superscript"/>
          <w:lang w:val="en-US"/>
        </w:rPr>
        <w:t>2</w:t>
      </w:r>
      <w:r w:rsidRPr="000657DC">
        <w:rPr>
          <w:lang w:val="en-US"/>
        </w:rPr>
        <w:t>Shiankov</w:t>
      </w:r>
      <w:r w:rsidRPr="00C7523C">
        <w:rPr>
          <w:lang w:val="en-US"/>
        </w:rPr>
        <w:t xml:space="preserve"> </w:t>
      </w:r>
      <w:r>
        <w:rPr>
          <w:lang w:val="en-US"/>
        </w:rPr>
        <w:t>S.V.</w:t>
      </w:r>
      <w:r w:rsidRPr="00210EC3">
        <w:rPr>
          <w:lang w:val="en-US"/>
        </w:rPr>
        <w:t xml:space="preserve">, </w:t>
      </w:r>
      <w:r w:rsidRPr="00C7523C">
        <w:rPr>
          <w:vertAlign w:val="superscript"/>
          <w:lang w:val="en-US"/>
        </w:rPr>
        <w:t>2</w:t>
      </w:r>
      <w:r w:rsidRPr="007827BA">
        <w:rPr>
          <w:vertAlign w:val="superscript"/>
          <w:lang w:val="en-US"/>
        </w:rPr>
        <w:t>,</w:t>
      </w:r>
      <w:r>
        <w:rPr>
          <w:vertAlign w:val="superscript"/>
          <w:lang w:val="en-US"/>
        </w:rPr>
        <w:t>5</w:t>
      </w:r>
      <w:r w:rsidRPr="000657DC">
        <w:rPr>
          <w:lang w:val="en-US"/>
        </w:rPr>
        <w:t>Shoshin</w:t>
      </w:r>
      <w:r w:rsidRPr="00C7523C">
        <w:rPr>
          <w:lang w:val="en-US"/>
        </w:rPr>
        <w:t xml:space="preserve"> </w:t>
      </w:r>
      <w:r>
        <w:rPr>
          <w:lang w:val="en-US"/>
        </w:rPr>
        <w:t>A.A.</w:t>
      </w:r>
    </w:p>
    <w:p w:rsidR="00AE5631" w:rsidRDefault="00AE5631" w:rsidP="00AE5631">
      <w:pPr>
        <w:pStyle w:val="Zv-Organization"/>
        <w:rPr>
          <w:rStyle w:val="a7"/>
          <w:color w:val="auto"/>
          <w:u w:val="none"/>
          <w:lang w:val="en-US"/>
        </w:rPr>
      </w:pPr>
      <w:r w:rsidRPr="00AE5631">
        <w:rPr>
          <w:vertAlign w:val="superscript"/>
          <w:lang w:val="en-US"/>
        </w:rPr>
        <w:t>1</w:t>
      </w:r>
      <w:r w:rsidRPr="00AE5631">
        <w:rPr>
          <w:lang w:val="en-US"/>
        </w:rPr>
        <w:t xml:space="preserve">Institution «Project Center ITER», Moscow, Russia, </w:t>
      </w:r>
      <w:hyperlink r:id="rId7" w:history="1">
        <w:r w:rsidRPr="0047554E">
          <w:rPr>
            <w:rStyle w:val="a7"/>
            <w:lang w:val="en-US"/>
          </w:rPr>
          <w:t>e.alexandrov@iterrf.ru</w:t>
        </w:r>
      </w:hyperlink>
      <w:r>
        <w:rPr>
          <w:rStyle w:val="a7"/>
          <w:color w:val="auto"/>
          <w:u w:val="none"/>
          <w:lang w:val="en-US"/>
        </w:rPr>
        <w:br/>
      </w:r>
      <w:r w:rsidRPr="00AE5631">
        <w:rPr>
          <w:vertAlign w:val="superscript"/>
          <w:lang w:val="en-US"/>
        </w:rPr>
        <w:t>2</w:t>
      </w:r>
      <w:r w:rsidRPr="00AE5631">
        <w:rPr>
          <w:lang w:val="en-US"/>
        </w:rPr>
        <w:t xml:space="preserve">Budker Institute of Nuclear Physics SB RAS, Novosibirsk, Russia, </w:t>
      </w:r>
      <w:hyperlink r:id="rId8" w:history="1">
        <w:r w:rsidRPr="0047554E">
          <w:rPr>
            <w:rStyle w:val="a7"/>
            <w:lang w:val="en-US"/>
          </w:rPr>
          <w:t>a.a.listopad@inp.nsk.su</w:t>
        </w:r>
      </w:hyperlink>
      <w:r>
        <w:rPr>
          <w:rStyle w:val="a7"/>
          <w:color w:val="auto"/>
          <w:u w:val="none"/>
          <w:lang w:val="en-US"/>
        </w:rPr>
        <w:br/>
      </w:r>
      <w:r w:rsidRPr="00AE5631">
        <w:rPr>
          <w:vertAlign w:val="superscript"/>
          <w:lang w:val="en-US"/>
        </w:rPr>
        <w:t>3</w:t>
      </w:r>
      <w:r w:rsidRPr="00AE5631">
        <w:rPr>
          <w:lang w:val="en-US"/>
        </w:rPr>
        <w:t>Saint-Petersburg State Polytechnical University, Saint-Petersburg, Russia,</w:t>
      </w:r>
      <w:r>
        <w:rPr>
          <w:lang w:val="en-US"/>
        </w:rPr>
        <w:br/>
        <w:t xml:space="preserve">    </w:t>
      </w:r>
      <w:r w:rsidRPr="00AE5631">
        <w:rPr>
          <w:lang w:val="en-US"/>
        </w:rPr>
        <w:t xml:space="preserve"> </w:t>
      </w:r>
      <w:hyperlink r:id="rId9" w:history="1">
        <w:r w:rsidRPr="0047554E">
          <w:rPr>
            <w:rStyle w:val="a7"/>
            <w:lang w:val="en-US"/>
          </w:rPr>
          <w:t>vmodestov@spbstu.ru</w:t>
        </w:r>
      </w:hyperlink>
      <w:r>
        <w:rPr>
          <w:rStyle w:val="a7"/>
          <w:color w:val="auto"/>
          <w:u w:val="none"/>
          <w:lang w:val="en-US"/>
        </w:rPr>
        <w:br/>
      </w:r>
      <w:r w:rsidRPr="00AE5631">
        <w:rPr>
          <w:vertAlign w:val="superscript"/>
          <w:lang w:val="en-US"/>
        </w:rPr>
        <w:t>4</w:t>
      </w:r>
      <w:r w:rsidRPr="00AE5631">
        <w:rPr>
          <w:lang w:val="en-US"/>
        </w:rPr>
        <w:t xml:space="preserve">Novosibirsk State University, Novosibirsk, Russia, </w:t>
      </w:r>
      <w:hyperlink r:id="rId10" w:history="1">
        <w:r w:rsidRPr="0047554E">
          <w:rPr>
            <w:rStyle w:val="a7"/>
            <w:lang w:val="en-US"/>
          </w:rPr>
          <w:t>a.a.shoshin@inp.nsk.su</w:t>
        </w:r>
      </w:hyperlink>
      <w:r>
        <w:rPr>
          <w:rStyle w:val="a7"/>
          <w:color w:val="auto"/>
          <w:u w:val="none"/>
          <w:lang w:val="en-US"/>
        </w:rPr>
        <w:br/>
      </w:r>
      <w:r w:rsidRPr="00AE5631">
        <w:rPr>
          <w:vertAlign w:val="superscript"/>
          <w:lang w:val="en-US"/>
        </w:rPr>
        <w:t>5</w:t>
      </w:r>
      <w:r w:rsidRPr="00AE5631">
        <w:rPr>
          <w:lang w:val="en-US"/>
        </w:rPr>
        <w:t xml:space="preserve">Novosibirsk State Technical University, Novosibirsk, Russia, </w:t>
      </w:r>
      <w:hyperlink r:id="rId11" w:history="1">
        <w:r w:rsidRPr="0047554E">
          <w:rPr>
            <w:rStyle w:val="a7"/>
            <w:lang w:val="en-US"/>
          </w:rPr>
          <w:t>a.v.burdakov@inp.nsk.su</w:t>
        </w:r>
      </w:hyperlink>
    </w:p>
    <w:p w:rsidR="00AE5631" w:rsidRPr="00AE5631" w:rsidRDefault="00AE5631" w:rsidP="00AE5631">
      <w:pPr>
        <w:pStyle w:val="Zv-bodyreport"/>
      </w:pPr>
      <w:r w:rsidRPr="00FB562C">
        <w:rPr>
          <w:lang w:val="en-US"/>
        </w:rPr>
        <w:t xml:space="preserve">ITER diagnostic ports are designed to hold and to protect the tokamak equipment. </w:t>
      </w:r>
      <w:r w:rsidRPr="00AE5631">
        <w:t>These systems will be operated in extremely unfavorable conditions due to neutron, hydraulic, thermal, vibration, shock, electromagnetic and other kinds of loading.</w:t>
      </w:r>
    </w:p>
    <w:p w:rsidR="00AE5631" w:rsidRPr="00AE5631" w:rsidRDefault="00AE5631" w:rsidP="00AE5631">
      <w:pPr>
        <w:pStyle w:val="Zv-bodyreport"/>
      </w:pPr>
      <w:r w:rsidRPr="00AE5631">
        <w:t>The purpose of this work is developing the structures for the diagnostic and other equipment in the upper ports # 02 and # 08 of ITER. For the last period, a new stage of preliminary design of port elements for placing the equipment in these ports, was performed. During this stage, three-dimensional models of port-plugs were improved, including a diagnostic first wall (DFW), diagnostic shielding module (DSM), port-plug structure (PPS). Ex-vessel support structures have been upgraded to accommodate the equipment in the interspace and in the port-cell regions.</w:t>
      </w:r>
    </w:p>
    <w:p w:rsidR="00AE5631" w:rsidRPr="00AE5631" w:rsidRDefault="00AE5631" w:rsidP="00AE5631">
      <w:pPr>
        <w:pStyle w:val="Zv-bodyreport"/>
      </w:pPr>
      <w:r w:rsidRPr="00AE5631">
        <w:t>The last stage of neutron calculations has demonstrated the effectiveness of the in-port shield located behind the DSM. Numerical simulations of thermal, thermo-hydraulic, electromagnetic and mechanical loads on the designed elements of diagnostic ports prove the efficiency of the current design version.</w:t>
      </w:r>
    </w:p>
    <w:p w:rsidR="00AE5631" w:rsidRPr="00AE5631" w:rsidRDefault="00AE5631" w:rsidP="00AE5631">
      <w:pPr>
        <w:pStyle w:val="Zv-bodyreport"/>
      </w:pPr>
      <w:r w:rsidRPr="00AE5631">
        <w:t>Idea to use the in-port neutron shielding of the port-plug (developed by the BINP SB RAS), as well as the idea of filling the support structures in the interspace with shielding elements, were approved by ITER Organization (France).</w:t>
      </w:r>
    </w:p>
    <w:p w:rsidR="00AE5631" w:rsidRPr="00AE5631" w:rsidRDefault="00AE5631" w:rsidP="00AE5631">
      <w:pPr>
        <w:pStyle w:val="Zv-bodyreport"/>
      </w:pPr>
      <w:r w:rsidRPr="00AE5631">
        <w:t>In preparation for Defense of preliminary projects of the upper ports # 02 and # 08, the sets of project documentation were arranged, in particular the system loads specifications were written on the basis of the results of thermal, thermo-hydraulic, electromagnetic and mechanical calculations.</w:t>
      </w:r>
    </w:p>
    <w:p w:rsidR="00AE5631" w:rsidRPr="00AE5631" w:rsidRDefault="00AE5631" w:rsidP="00AE5631">
      <w:pPr>
        <w:pStyle w:val="Zv-bodyreport"/>
      </w:pPr>
      <w:r w:rsidRPr="00AE5631">
        <w:t>The principal design solutions and the results obtained in the frame of this work can be used in the development of other upper port-plugs in ITER, as well as in the applications for devices with similar parameters of operation.</w:t>
      </w:r>
    </w:p>
    <w:p w:rsidR="00654A7B" w:rsidRDefault="00654A7B">
      <w:pPr>
        <w:rPr>
          <w:lang w:val="en-US"/>
        </w:rPr>
      </w:pPr>
    </w:p>
    <w:sectPr w:rsidR="00654A7B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7271" w:rsidRDefault="00007271">
      <w:r>
        <w:separator/>
      </w:r>
    </w:p>
  </w:endnote>
  <w:endnote w:type="continuationSeparator" w:id="0">
    <w:p w:rsidR="00007271" w:rsidRDefault="000072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E7EF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2E7EFA" w:rsidP="00654A7B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74399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6CBD">
      <w:rPr>
        <w:rStyle w:val="a5"/>
        <w:noProof/>
      </w:rPr>
      <w:t>1</w:t>
    </w:r>
    <w:r>
      <w:rPr>
        <w:rStyle w:val="a5"/>
      </w:rPr>
      <w:fldChar w:fldCharType="end"/>
    </w:r>
  </w:p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7271" w:rsidRDefault="00007271">
      <w:r>
        <w:separator/>
      </w:r>
    </w:p>
  </w:footnote>
  <w:footnote w:type="continuationSeparator" w:id="0">
    <w:p w:rsidR="00007271" w:rsidRDefault="0000727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FE5AB7" w:rsidRDefault="00654A7B">
    <w:pPr>
      <w:pStyle w:val="a3"/>
      <w:jc w:val="center"/>
      <w:rPr>
        <w:sz w:val="20"/>
        <w:lang w:val="en-US"/>
      </w:rPr>
    </w:pPr>
    <w:r w:rsidRPr="00FE5AB7">
      <w:rPr>
        <w:sz w:val="20"/>
        <w:lang w:val="en-US"/>
      </w:rPr>
      <w:t xml:space="preserve"> </w:t>
    </w:r>
    <w:r w:rsidR="00EF07A9">
      <w:rPr>
        <w:sz w:val="20"/>
        <w:lang w:val="en-US"/>
      </w:rPr>
      <w:t>4</w:t>
    </w:r>
    <w:r w:rsidR="00AE6185">
      <w:rPr>
        <w:sz w:val="20"/>
        <w:lang w:val="en-US"/>
      </w:rPr>
      <w:t>6</w:t>
    </w:r>
    <w:r w:rsidR="00EF07A9">
      <w:rPr>
        <w:sz w:val="20"/>
        <w:vertAlign w:val="superscript"/>
        <w:lang w:val="en-US"/>
      </w:rPr>
      <w:t>th</w:t>
    </w:r>
    <w:r w:rsidR="00EF07A9">
      <w:rPr>
        <w:sz w:val="20"/>
        <w:lang w:val="en-US"/>
      </w:rPr>
      <w:t xml:space="preserve"> </w:t>
    </w:r>
    <w:r w:rsidR="006B5B24">
      <w:rPr>
        <w:sz w:val="20"/>
        <w:lang w:val="en-US"/>
      </w:rPr>
      <w:t>I</w:t>
    </w:r>
    <w:r w:rsidR="00EF07A9">
      <w:rPr>
        <w:sz w:val="20"/>
        <w:lang w:val="en-US"/>
      </w:rPr>
      <w:t xml:space="preserve">nternational </w:t>
    </w:r>
    <w:r w:rsidR="006B5B24">
      <w:rPr>
        <w:sz w:val="20"/>
        <w:lang w:val="en-US"/>
      </w:rPr>
      <w:t>C</w:t>
    </w:r>
    <w:r w:rsidR="00EF07A9">
      <w:rPr>
        <w:sz w:val="20"/>
        <w:lang w:val="en-US"/>
      </w:rPr>
      <w:t xml:space="preserve">onference on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lasma </w:t>
    </w:r>
    <w:r w:rsidR="006B5B24">
      <w:rPr>
        <w:sz w:val="20"/>
        <w:lang w:val="en-US"/>
      </w:rPr>
      <w:t>P</w:t>
    </w:r>
    <w:r w:rsidR="00EF07A9">
      <w:rPr>
        <w:sz w:val="20"/>
        <w:lang w:val="en-US"/>
      </w:rPr>
      <w:t xml:space="preserve">hysics and CF, </w:t>
    </w:r>
    <w:r w:rsidR="00AE6185">
      <w:rPr>
        <w:sz w:val="20"/>
        <w:lang w:val="en-US"/>
      </w:rPr>
      <w:t>March</w:t>
    </w:r>
    <w:r w:rsidR="00EF07A9">
      <w:rPr>
        <w:sz w:val="20"/>
        <w:lang w:val="en-US"/>
      </w:rPr>
      <w:t xml:space="preserve">  </w:t>
    </w:r>
    <w:r w:rsidR="00AE6185">
      <w:rPr>
        <w:sz w:val="20"/>
        <w:lang w:val="en-US"/>
      </w:rPr>
      <w:t>18</w:t>
    </w:r>
    <w:r w:rsidR="00EF07A9">
      <w:rPr>
        <w:sz w:val="20"/>
        <w:lang w:val="en-US"/>
      </w:rPr>
      <w:t xml:space="preserve"> – </w:t>
    </w:r>
    <w:r w:rsidR="00AE6185">
      <w:rPr>
        <w:sz w:val="20"/>
        <w:lang w:val="en-US"/>
      </w:rPr>
      <w:t>22</w:t>
    </w:r>
    <w:r w:rsidR="00EF07A9">
      <w:rPr>
        <w:sz w:val="20"/>
        <w:lang w:val="en-US"/>
      </w:rPr>
      <w:t>, 201</w:t>
    </w:r>
    <w:r w:rsidR="00AE6185">
      <w:rPr>
        <w:sz w:val="20"/>
        <w:lang w:val="en-US"/>
      </w:rPr>
      <w:t>9</w:t>
    </w:r>
    <w:r w:rsidR="00EF07A9">
      <w:rPr>
        <w:sz w:val="20"/>
        <w:lang w:val="en-US"/>
      </w:rPr>
      <w:t>, Zvenigorod</w:t>
    </w:r>
  </w:p>
  <w:p w:rsidR="00654A7B" w:rsidRDefault="002E7EFA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54pt,1.2pt" to="6in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3174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B562C"/>
    <w:rsid w:val="00007271"/>
    <w:rsid w:val="00043701"/>
    <w:rsid w:val="000C657D"/>
    <w:rsid w:val="000C7078"/>
    <w:rsid w:val="000D76E9"/>
    <w:rsid w:val="000E495B"/>
    <w:rsid w:val="000F6CBD"/>
    <w:rsid w:val="001C0CCB"/>
    <w:rsid w:val="00205708"/>
    <w:rsid w:val="00220629"/>
    <w:rsid w:val="0023083F"/>
    <w:rsid w:val="00247225"/>
    <w:rsid w:val="002E7EFA"/>
    <w:rsid w:val="003800F3"/>
    <w:rsid w:val="003A606B"/>
    <w:rsid w:val="003B5B93"/>
    <w:rsid w:val="003E0981"/>
    <w:rsid w:val="00401388"/>
    <w:rsid w:val="0043297E"/>
    <w:rsid w:val="00446025"/>
    <w:rsid w:val="004A77D1"/>
    <w:rsid w:val="004B72AA"/>
    <w:rsid w:val="004F4E29"/>
    <w:rsid w:val="005074E3"/>
    <w:rsid w:val="00567C6F"/>
    <w:rsid w:val="00573BAD"/>
    <w:rsid w:val="0058676C"/>
    <w:rsid w:val="005F764D"/>
    <w:rsid w:val="00654A7B"/>
    <w:rsid w:val="006B5B24"/>
    <w:rsid w:val="00732A2E"/>
    <w:rsid w:val="007B6378"/>
    <w:rsid w:val="007E06CE"/>
    <w:rsid w:val="00802D35"/>
    <w:rsid w:val="008520F9"/>
    <w:rsid w:val="008850EF"/>
    <w:rsid w:val="00906FF7"/>
    <w:rsid w:val="00AE5631"/>
    <w:rsid w:val="00AE6185"/>
    <w:rsid w:val="00B622ED"/>
    <w:rsid w:val="00B9584E"/>
    <w:rsid w:val="00C103CD"/>
    <w:rsid w:val="00C232A0"/>
    <w:rsid w:val="00C5751F"/>
    <w:rsid w:val="00D47F19"/>
    <w:rsid w:val="00D900FB"/>
    <w:rsid w:val="00D92E54"/>
    <w:rsid w:val="00E7021A"/>
    <w:rsid w:val="00E87733"/>
    <w:rsid w:val="00EE371E"/>
    <w:rsid w:val="00EF07A9"/>
    <w:rsid w:val="00F722F5"/>
    <w:rsid w:val="00F74399"/>
    <w:rsid w:val="00F95123"/>
    <w:rsid w:val="00FB562C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F9512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6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6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6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7">
    <w:name w:val="Hyperlink"/>
    <w:uiPriority w:val="99"/>
    <w:unhideWhenUsed/>
    <w:rsid w:val="00AE5631"/>
    <w:rPr>
      <w:color w:val="070BB5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.a.listopad@inp.nsk.su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e.alexandrov@iterrf.ru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a.v.burdakov@inp.nsk.su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a.a.shoshin@inp.nsk.s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vmodestov@spbstu.ru" TargetMode="External"/><Relationship Id="rId14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19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Zven_2019_e</Template>
  <TotalTime>6</TotalTime>
  <Pages>1</Pages>
  <Words>425</Words>
  <Characters>2425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PRELIMINARY DESIGN OF UP #02 AND UP #08 INTEGRATION</vt:lpstr>
    </vt:vector>
  </TitlesOfParts>
  <Company/>
  <LinksUpToDate>false</LinksUpToDate>
  <CharactersWithSpaces>2845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PRELIMINARY DESIGN OF UP #02 AND UP #08 INTEGRATION</dc:title>
  <dc:creator>sato</dc:creator>
  <cp:lastModifiedBy>Сатунин</cp:lastModifiedBy>
  <cp:revision>2</cp:revision>
  <cp:lastPrinted>1601-01-01T00:00:00Z</cp:lastPrinted>
  <dcterms:created xsi:type="dcterms:W3CDTF">2019-01-18T18:02:00Z</dcterms:created>
  <dcterms:modified xsi:type="dcterms:W3CDTF">2019-01-18T18:15:00Z</dcterms:modified>
</cp:coreProperties>
</file>