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FC" w:rsidRPr="00B50428" w:rsidRDefault="00AD22FC" w:rsidP="00AD22FC">
      <w:pPr>
        <w:pStyle w:val="Zv-Titlereport"/>
      </w:pPr>
      <w:r w:rsidRPr="009C586E">
        <w:rPr>
          <w:szCs w:val="24"/>
        </w:rPr>
        <w:t xml:space="preserve">Динамика формирования </w:t>
      </w:r>
      <w:r>
        <w:rPr>
          <w:szCs w:val="24"/>
        </w:rPr>
        <w:t>объемного разряда в аргоне в условиях предварительной ионизации газа</w:t>
      </w:r>
    </w:p>
    <w:p w:rsidR="00AD22FC" w:rsidRPr="00AD22FC" w:rsidRDefault="00AD22FC" w:rsidP="00AD22FC">
      <w:pPr>
        <w:pStyle w:val="Zv-Author"/>
        <w:rPr>
          <w:szCs w:val="24"/>
        </w:rPr>
      </w:pPr>
      <w:r w:rsidRPr="00E140B1">
        <w:rPr>
          <w:szCs w:val="24"/>
        </w:rPr>
        <w:t>Курбанисмаилов В.С., Омаров О.А., Р</w:t>
      </w:r>
      <w:r>
        <w:rPr>
          <w:szCs w:val="24"/>
        </w:rPr>
        <w:t>агимханов Г.Б., Терешонок Д.В.</w:t>
      </w:r>
      <w:r w:rsidRPr="00AD22FC">
        <w:rPr>
          <w:szCs w:val="24"/>
          <w:vertAlign w:val="superscript"/>
        </w:rPr>
        <w:t>1</w:t>
      </w:r>
    </w:p>
    <w:p w:rsidR="00AD22FC" w:rsidRPr="00AD22FC" w:rsidRDefault="00AD22FC" w:rsidP="00AD22FC">
      <w:pPr>
        <w:pStyle w:val="Zv-Organization"/>
        <w:rPr>
          <w:iCs/>
        </w:rPr>
      </w:pPr>
      <w:r>
        <w:t xml:space="preserve">Даггосуниверситет, Махачкала, Россия, </w:t>
      </w:r>
      <w:hyperlink r:id="rId7" w:history="1">
        <w:r w:rsidRPr="00442E87">
          <w:rPr>
            <w:rStyle w:val="a8"/>
          </w:rPr>
          <w:t>vali_60@mail.ru</w:t>
        </w:r>
      </w:hyperlink>
      <w:r w:rsidRPr="00E72FB4">
        <w:br/>
      </w:r>
      <w:r w:rsidRPr="00AD22FC">
        <w:rPr>
          <w:iCs/>
          <w:vertAlign w:val="superscript"/>
        </w:rPr>
        <w:t>1</w:t>
      </w:r>
      <w:r w:rsidRPr="00BB630D">
        <w:rPr>
          <w:iCs/>
        </w:rPr>
        <w:t>Объединенный институт высоких температур РАН, Москва, Россия,</w:t>
      </w:r>
      <w:r w:rsidRPr="00AD22FC">
        <w:rPr>
          <w:iCs/>
        </w:rPr>
        <w:br/>
        <w:t xml:space="preserve">    </w:t>
      </w:r>
      <w:r w:rsidRPr="00BB630D">
        <w:rPr>
          <w:iCs/>
        </w:rPr>
        <w:t xml:space="preserve"> </w:t>
      </w:r>
      <w:hyperlink r:id="rId8" w:history="1">
        <w:r w:rsidRPr="00056E1D">
          <w:rPr>
            <w:rStyle w:val="a8"/>
            <w:iCs/>
          </w:rPr>
          <w:t>tereshonokd@gmail.com</w:t>
        </w:r>
      </w:hyperlink>
    </w:p>
    <w:p w:rsidR="00AD22FC" w:rsidRPr="00E72FB4" w:rsidRDefault="00AD22FC" w:rsidP="00AD22FC">
      <w:pPr>
        <w:pStyle w:val="Zv-bodyreport"/>
      </w:pPr>
      <w:r w:rsidRPr="00B44D22">
        <w:t>Ионизация газа в промежутке осуществлял</w:t>
      </w:r>
      <w:r>
        <w:t>о</w:t>
      </w:r>
      <w:r w:rsidRPr="00B44D22">
        <w:t xml:space="preserve">сь от источника УФ - излучения, который располагался в том же газе на расстоянии (5-7) см от оси основного промежутка. Расстояние </w:t>
      </w:r>
      <w:r w:rsidRPr="00B44D22">
        <w:rPr>
          <w:i/>
        </w:rPr>
        <w:t>d</w:t>
      </w:r>
      <w:r w:rsidRPr="00B44D22">
        <w:t xml:space="preserve"> между алюминиевыми электродами равно </w:t>
      </w:r>
      <w:smartTag w:uri="urn:schemas-microsoft-com:office:smarttags" w:element="metricconverter">
        <w:smartTagPr>
          <w:attr w:name="ProductID" w:val="1 см"/>
        </w:smartTagPr>
        <w:r w:rsidRPr="00B44D22">
          <w:t>1 см</w:t>
        </w:r>
      </w:smartTag>
      <w:r w:rsidRPr="00B44D22">
        <w:t xml:space="preserve">, а диаметр электродов - </w:t>
      </w:r>
      <w:smartTag w:uri="urn:schemas-microsoft-com:office:smarttags" w:element="metricconverter">
        <w:smartTagPr>
          <w:attr w:name="ProductID" w:val="4 см"/>
        </w:smartTagPr>
        <w:r w:rsidRPr="00B44D22">
          <w:t>4 см</w:t>
        </w:r>
      </w:smartTag>
      <w:r w:rsidRPr="00B44D22">
        <w:t xml:space="preserve">. Использовались два типа электродов - сферические с радиусом кривизны </w:t>
      </w:r>
      <w:r w:rsidRPr="00B44D22">
        <w:rPr>
          <w:i/>
        </w:rPr>
        <w:t>R</w:t>
      </w:r>
      <w:r w:rsidRPr="00B44D22">
        <w:t xml:space="preserve"> </w:t>
      </w:r>
      <w:fldSimple w:instr="SYMBOL 187 \f &quot;Symbol&quot; \s 14">
        <w:r w:rsidRPr="00B44D22">
          <w:t>»</w:t>
        </w:r>
      </w:fldSimple>
      <w:smartTag w:uri="urn:schemas-microsoft-com:office:smarttags" w:element="metricconverter">
        <w:smartTagPr>
          <w:attr w:name="ProductID" w:val="30 см"/>
        </w:smartTagPr>
        <w:r w:rsidRPr="00B44D22">
          <w:t>30 см</w:t>
        </w:r>
      </w:smartTag>
      <w:r w:rsidRPr="00B44D22">
        <w:t xml:space="preserve"> и плоские</w:t>
      </w:r>
      <w:r>
        <w:t xml:space="preserve"> </w:t>
      </w:r>
      <w:r w:rsidRPr="00BD4E96">
        <w:t>[1-3]</w:t>
      </w:r>
      <w:r w:rsidRPr="00B44D22">
        <w:t>.</w:t>
      </w:r>
      <w:r w:rsidRPr="00BD4E96">
        <w:t xml:space="preserve"> </w:t>
      </w:r>
      <w:r w:rsidRPr="00B44D22">
        <w:t xml:space="preserve">Промежуток пробивался подачей импульса напряжения с длительностью переднего фронта ~ 10 нс через </w:t>
      </w:r>
      <w:r>
        <w:t xml:space="preserve">100-150 нс </w:t>
      </w:r>
      <w:r w:rsidRPr="00B44D22">
        <w:t xml:space="preserve">после прекращения его облучения внешним ионизатором. Напряжение пробоя менялось от статического пробойного значения </w:t>
      </w:r>
      <w:r w:rsidRPr="00B44D22">
        <w:rPr>
          <w:i/>
        </w:rPr>
        <w:t>U</w:t>
      </w:r>
      <w:r w:rsidRPr="00B44D22">
        <w:rPr>
          <w:vertAlign w:val="subscript"/>
        </w:rPr>
        <w:t xml:space="preserve">ст </w:t>
      </w:r>
      <w:r w:rsidRPr="00B44D22">
        <w:t xml:space="preserve">= 6,8 кВ (при </w:t>
      </w:r>
      <w:r w:rsidRPr="00B44D22">
        <w:rPr>
          <w:i/>
        </w:rPr>
        <w:t>d</w:t>
      </w:r>
      <w:r w:rsidRPr="00B44D22">
        <w:t xml:space="preserve">=1 см, </w:t>
      </w:r>
      <w:r w:rsidRPr="00B44D22">
        <w:rPr>
          <w:i/>
        </w:rPr>
        <w:t>р</w:t>
      </w:r>
      <w:r w:rsidRPr="00B44D22">
        <w:t>=1 атм) до 20 кВ. Длительность светового импуль</w:t>
      </w:r>
      <w:r>
        <w:t>са подсветки составляла 600 нс.</w:t>
      </w:r>
    </w:p>
    <w:p w:rsidR="00AD22FC" w:rsidRPr="00B44D22" w:rsidRDefault="00AD22FC" w:rsidP="00AD22FC">
      <w:pPr>
        <w:pStyle w:val="Zv-bodyreport"/>
      </w:pPr>
      <w:r w:rsidRPr="00B44D22">
        <w:t xml:space="preserve">Выполненные исследования показывают, что однородный слаботочный разряд формирует ионизационный фронт, распространяющийся с анода. </w:t>
      </w:r>
      <w:r>
        <w:t>К</w:t>
      </w:r>
      <w:r w:rsidRPr="00B44D22">
        <w:t>огда ионизационный фронт подходит к катоду интенсивность свечения столба резко возрастает и катодная часть замыкается узким (</w:t>
      </w:r>
      <w:r w:rsidRPr="00B44D22">
        <w:rPr>
          <w:i/>
          <w:lang w:val="en-US"/>
        </w:rPr>
        <w:t>d</w:t>
      </w:r>
      <w:r w:rsidRPr="00B44D22">
        <w:t>=0,2 мм) нитевидным свечением (рис.</w:t>
      </w:r>
      <w:r>
        <w:t>1, фото 3</w:t>
      </w:r>
      <w:r w:rsidRPr="00B44D22">
        <w:t xml:space="preserve">).  Диаметр диффузного канала на этой стадии составляет </w:t>
      </w:r>
      <w:smartTag w:uri="urn:schemas-microsoft-com:office:smarttags" w:element="metricconverter">
        <w:smartTagPr>
          <w:attr w:name="ProductID" w:val="4 мм"/>
        </w:smartTagPr>
        <w:r w:rsidRPr="00B44D22">
          <w:t>4 мм</w:t>
        </w:r>
      </w:smartTag>
      <w:r w:rsidRPr="00B44D22">
        <w:t xml:space="preserve">. Через 20-25 нс (в аргоне) после перекрытия промежутка ионизационным фронтом появляется яркое катодное пятно, и разряд принимает форму конуса с вершиной у катода (фото </w:t>
      </w:r>
      <w:r w:rsidRPr="00B44D22">
        <w:rPr>
          <w:i/>
        </w:rPr>
        <w:t>4</w:t>
      </w:r>
      <w:r w:rsidRPr="00B44D22">
        <w:t xml:space="preserve">, рис. </w:t>
      </w:r>
      <w:r>
        <w:t>1</w:t>
      </w:r>
      <w:r w:rsidRPr="00B44D22">
        <w:t>). Яркость катодного пятна значительно выше яркости столба и катодная часть имеет ярко очерченные границы (</w:t>
      </w:r>
      <w:r w:rsidRPr="00B44D22">
        <w:rPr>
          <w:i/>
          <w:lang w:val="en-US"/>
        </w:rPr>
        <w:t>d</w:t>
      </w:r>
      <w:r w:rsidRPr="00B44D22">
        <w:t>=0,2-</w:t>
      </w:r>
      <w:smartTag w:uri="urn:schemas-microsoft-com:office:smarttags" w:element="metricconverter">
        <w:smartTagPr>
          <w:attr w:name="ProductID" w:val="0,3 мм"/>
        </w:smartTagPr>
        <w:r w:rsidRPr="00B44D22">
          <w:t>0,3 мм</w:t>
        </w:r>
      </w:smartTag>
      <w:r w:rsidRPr="00B44D22">
        <w:t>) и диаметр столба свечения сужается (у анода 2-</w:t>
      </w:r>
      <w:smartTag w:uri="urn:schemas-microsoft-com:office:smarttags" w:element="metricconverter">
        <w:smartTagPr>
          <w:attr w:name="ProductID" w:val="3 мм"/>
        </w:smartTagPr>
        <w:r w:rsidRPr="00B44D22">
          <w:t>3 мм</w:t>
        </w:r>
      </w:smartTag>
      <w:r w:rsidRPr="00B44D22">
        <w:t>).</w:t>
      </w:r>
      <w:r>
        <w:t xml:space="preserve"> С катодного пятна прорастает искровой канал (рис.1, фото 5).</w:t>
      </w:r>
    </w:p>
    <w:p w:rsidR="00AD22FC" w:rsidRPr="00B44D22" w:rsidRDefault="00AD22FC" w:rsidP="00AD22FC">
      <w:pPr>
        <w:pStyle w:val="Zv-bodyreport"/>
        <w:spacing w:after="120"/>
      </w:pPr>
      <w:r w:rsidRPr="00B44D22">
        <w:t>По времени образование катодного пятна совпадает с началом резкого роста тока и спада напр</w:t>
      </w:r>
      <w:r>
        <w:t>яжения на разрядном промежутке.</w:t>
      </w:r>
    </w:p>
    <w:tbl>
      <w:tblPr>
        <w:tblW w:w="0" w:type="auto"/>
        <w:tblLook w:val="04A0"/>
      </w:tblPr>
      <w:tblGrid>
        <w:gridCol w:w="9571"/>
      </w:tblGrid>
      <w:tr w:rsidR="00AD22FC" w:rsidRPr="00B44D22" w:rsidTr="003A7373">
        <w:tc>
          <w:tcPr>
            <w:tcW w:w="9571" w:type="dxa"/>
          </w:tcPr>
          <w:tbl>
            <w:tblPr>
              <w:tblW w:w="0" w:type="auto"/>
              <w:jc w:val="center"/>
              <w:tblLook w:val="04A0"/>
            </w:tblPr>
            <w:tblGrid>
              <w:gridCol w:w="403"/>
              <w:gridCol w:w="1327"/>
              <w:gridCol w:w="1438"/>
              <w:gridCol w:w="1476"/>
              <w:gridCol w:w="1312"/>
              <w:gridCol w:w="1387"/>
              <w:gridCol w:w="589"/>
            </w:tblGrid>
            <w:tr w:rsidR="00AD22FC" w:rsidRPr="00B44D22" w:rsidTr="003A7373">
              <w:trPr>
                <w:gridBefore w:val="1"/>
                <w:wBefore w:w="403" w:type="dxa"/>
                <w:jc w:val="center"/>
              </w:trPr>
              <w:tc>
                <w:tcPr>
                  <w:tcW w:w="1322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>
                    <w:t xml:space="preserve"> </w:t>
                  </w:r>
                  <w:r w:rsidRPr="00B3483D">
                    <w:rPr>
                      <w:i/>
                    </w:rPr>
                    <w:t>1</w:t>
                  </w:r>
                  <w:r>
                    <w:t>(</w:t>
                  </w:r>
                  <w:r w:rsidRPr="00B44D22">
                    <w:t>260 нс</w:t>
                  </w:r>
                  <w:r>
                    <w:t>)</w:t>
                  </w:r>
                </w:p>
              </w:tc>
              <w:tc>
                <w:tcPr>
                  <w:tcW w:w="1438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  <w:jc w:val="center"/>
                  </w:pPr>
                  <w:r w:rsidRPr="00B3483D">
                    <w:rPr>
                      <w:i/>
                    </w:rPr>
                    <w:t>2</w:t>
                  </w:r>
                  <w:r>
                    <w:t xml:space="preserve"> (</w:t>
                  </w:r>
                  <w:r w:rsidRPr="00B44D22">
                    <w:t>270 нс</w:t>
                  </w:r>
                  <w:r>
                    <w:t>)</w:t>
                  </w:r>
                </w:p>
              </w:tc>
              <w:tc>
                <w:tcPr>
                  <w:tcW w:w="1473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  <w:jc w:val="center"/>
                  </w:pPr>
                  <w:r w:rsidRPr="00B3483D">
                    <w:rPr>
                      <w:i/>
                    </w:rPr>
                    <w:t>3</w:t>
                  </w:r>
                  <w:r>
                    <w:t>(</w:t>
                  </w:r>
                  <w:r w:rsidRPr="00B44D22">
                    <w:t>300 нс</w:t>
                  </w:r>
                  <w:r>
                    <w:t>)</w:t>
                  </w:r>
                </w:p>
              </w:tc>
              <w:tc>
                <w:tcPr>
                  <w:tcW w:w="1304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  <w:jc w:val="center"/>
                  </w:pPr>
                  <w:r w:rsidRPr="00B3483D">
                    <w:rPr>
                      <w:i/>
                    </w:rPr>
                    <w:t>4</w:t>
                  </w:r>
                  <w:r>
                    <w:t>(</w:t>
                  </w:r>
                  <w:r w:rsidRPr="00B44D22">
                    <w:t>310 нс</w:t>
                  </w:r>
                  <w:r>
                    <w:t>)</w:t>
                  </w:r>
                </w:p>
              </w:tc>
              <w:tc>
                <w:tcPr>
                  <w:tcW w:w="1387" w:type="dxa"/>
                </w:tcPr>
                <w:p w:rsidR="00AD22FC" w:rsidRPr="00B44D22" w:rsidRDefault="00AD22FC" w:rsidP="003A7373">
                  <w:pPr>
                    <w:pStyle w:val="Zv-bodyreport"/>
                    <w:ind w:firstLine="9"/>
                    <w:jc w:val="center"/>
                  </w:pPr>
                  <w:r w:rsidRPr="00B3483D">
                    <w:rPr>
                      <w:i/>
                    </w:rPr>
                    <w:t>5</w:t>
                  </w:r>
                  <w:r>
                    <w:t>(</w:t>
                  </w:r>
                  <w:r w:rsidRPr="00B44D22">
                    <w:t>320 нс</w:t>
                  </w:r>
                  <w:r>
                    <w:t>)</w:t>
                  </w:r>
                </w:p>
              </w:tc>
              <w:tc>
                <w:tcPr>
                  <w:tcW w:w="589" w:type="dxa"/>
                  <w:vMerge w:val="restart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 w:rsidRPr="00B44D22">
                    <w:t>А</w:t>
                  </w:r>
                </w:p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 w:rsidRPr="00B44D22">
                    <w:t>К</w:t>
                  </w:r>
                </w:p>
              </w:tc>
            </w:tr>
            <w:tr w:rsidR="00AD22FC" w:rsidRPr="00B44D22" w:rsidTr="003A7373">
              <w:trPr>
                <w:jc w:val="center"/>
              </w:trPr>
              <w:tc>
                <w:tcPr>
                  <w:tcW w:w="403" w:type="dxa"/>
                  <w:shd w:val="clear" w:color="auto" w:fill="auto"/>
                </w:tcPr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</w:pPr>
                </w:p>
                <w:p w:rsidR="00AD22FC" w:rsidRPr="00B44D22" w:rsidRDefault="00AD22FC" w:rsidP="003A7373">
                  <w:pPr>
                    <w:pStyle w:val="Zv-bodyreport"/>
                  </w:pPr>
                  <w:r w:rsidRPr="00B44D22">
                    <w:t>а</w:t>
                  </w:r>
                </w:p>
              </w:tc>
              <w:tc>
                <w:tcPr>
                  <w:tcW w:w="1322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 w:rsidRPr="00B44D22">
                    <w:object w:dxaOrig="972" w:dyaOrig="12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5pt;height:74.25pt" o:ole="">
                        <v:imagedata r:id="rId9" o:title=""/>
                      </v:shape>
                      <o:OLEObject Type="Embed" ProgID="PBrush" ShapeID="_x0000_i1025" DrawAspect="Content" ObjectID="_1580647310" r:id="rId10"/>
                    </w:object>
                  </w:r>
                </w:p>
              </w:tc>
              <w:tc>
                <w:tcPr>
                  <w:tcW w:w="1438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  <w:jc w:val="center"/>
                  </w:pPr>
                  <w:r w:rsidRPr="00B44D22">
                    <w:object w:dxaOrig="1128" w:dyaOrig="1656">
                      <v:shape id="_x0000_i1026" type="#_x0000_t75" style="width:60.75pt;height:74.25pt" o:ole="">
                        <v:imagedata r:id="rId11" o:title=""/>
                      </v:shape>
                      <o:OLEObject Type="Embed" ProgID="PBrush" ShapeID="_x0000_i1026" DrawAspect="Content" ObjectID="_1580647311" r:id="rId12"/>
                    </w:object>
                  </w:r>
                </w:p>
              </w:tc>
              <w:tc>
                <w:tcPr>
                  <w:tcW w:w="1473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 w:rsidRPr="00B44D22">
                    <w:object w:dxaOrig="1200" w:dyaOrig="1392">
                      <v:shape id="_x0000_i1027" type="#_x0000_t75" style="width:63pt;height:73.5pt" o:ole="">
                        <v:imagedata r:id="rId13" o:title=""/>
                      </v:shape>
                      <o:OLEObject Type="Embed" ProgID="PBrush" ShapeID="_x0000_i1027" DrawAspect="Content" ObjectID="_1580647312" r:id="rId14"/>
                    </w:object>
                  </w:r>
                </w:p>
              </w:tc>
              <w:tc>
                <w:tcPr>
                  <w:tcW w:w="1304" w:type="dxa"/>
                </w:tcPr>
                <w:p w:rsidR="00AD22FC" w:rsidRPr="00B44D22" w:rsidRDefault="00AD22FC" w:rsidP="003A7373">
                  <w:pPr>
                    <w:pStyle w:val="Zv-bodyreport"/>
                    <w:ind w:firstLine="0"/>
                  </w:pPr>
                  <w:r w:rsidRPr="00B44D22">
                    <w:object w:dxaOrig="1056" w:dyaOrig="1380">
                      <v:shape id="_x0000_i1028" type="#_x0000_t75" style="width:54.75pt;height:73.5pt" o:ole="">
                        <v:imagedata r:id="rId15" o:title=""/>
                      </v:shape>
                      <o:OLEObject Type="Embed" ProgID="PBrush" ShapeID="_x0000_i1028" DrawAspect="Content" ObjectID="_1580647313" r:id="rId16"/>
                    </w:object>
                  </w:r>
                </w:p>
              </w:tc>
              <w:tc>
                <w:tcPr>
                  <w:tcW w:w="1387" w:type="dxa"/>
                </w:tcPr>
                <w:p w:rsidR="00AD22FC" w:rsidRPr="00B44D22" w:rsidRDefault="00AD22FC" w:rsidP="003A7373">
                  <w:pPr>
                    <w:pStyle w:val="Zv-bodyreport"/>
                    <w:ind w:firstLine="9"/>
                  </w:pPr>
                  <w:r>
                    <w:rPr>
                      <w:noProof/>
                    </w:rPr>
                    <w:pict>
                      <v:line id="Прямая соединительная линия 42" o:spid="_x0000_s1027" style="position:absolute;left:0;text-align:left;z-index:251661312;visibility:visible;mso-wrap-distance-top:-3e-5mm;mso-wrap-distance-bottom:-3e-5mm;mso-position-horizontal-relative:text;mso-position-vertical-relative:text" from="61.8pt,68.35pt" to="85.8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"/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41" o:spid="_x0000_s1026" style="position:absolute;left:0;text-align:left;z-index:251660288;visibility:visible;mso-wrap-distance-top:-3e-5mm;mso-wrap-distance-bottom:-3e-5mm;mso-position-horizontal-relative:text;mso-position-vertical-relative:text" from="60.9pt,2.75pt" to="84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"/>
                    </w:pict>
                  </w:r>
                  <w:r w:rsidRPr="00B44D22">
                    <w:object w:dxaOrig="960" w:dyaOrig="1392">
                      <v:shape id="_x0000_i1029" type="#_x0000_t75" style="width:52.5pt;height:73.5pt" o:ole="">
                        <v:imagedata r:id="rId17" o:title=""/>
                      </v:shape>
                      <o:OLEObject Type="Embed" ProgID="PBrush" ShapeID="_x0000_i1029" DrawAspect="Content" ObjectID="_1580647314" r:id="rId18"/>
                    </w:object>
                  </w:r>
                </w:p>
              </w:tc>
              <w:tc>
                <w:tcPr>
                  <w:tcW w:w="589" w:type="dxa"/>
                  <w:vMerge/>
                </w:tcPr>
                <w:p w:rsidR="00AD22FC" w:rsidRPr="00B44D22" w:rsidRDefault="00AD22FC" w:rsidP="003A7373">
                  <w:pPr>
                    <w:pStyle w:val="Zv-bodyreport"/>
                  </w:pPr>
                </w:p>
              </w:tc>
            </w:tr>
          </w:tbl>
          <w:p w:rsidR="00AD22FC" w:rsidRPr="00B44D22" w:rsidRDefault="00AD22FC" w:rsidP="003A7373">
            <w:pPr>
              <w:pStyle w:val="Zv-bodyreport"/>
            </w:pPr>
          </w:p>
        </w:tc>
      </w:tr>
    </w:tbl>
    <w:p w:rsidR="00AD22FC" w:rsidRPr="00B44D22" w:rsidRDefault="00AD22FC" w:rsidP="00AD22FC">
      <w:pPr>
        <w:pStyle w:val="Zv-bodyreport"/>
        <w:spacing w:before="60"/>
        <w:ind w:left="1276" w:right="992" w:hanging="709"/>
        <w:jc w:val="left"/>
        <w:rPr>
          <w:bCs/>
        </w:rPr>
      </w:pPr>
      <w:r w:rsidRPr="00B44D22">
        <w:rPr>
          <w:bCs/>
        </w:rPr>
        <w:t>Рис.</w:t>
      </w:r>
      <w:r>
        <w:rPr>
          <w:bCs/>
        </w:rPr>
        <w:t>1</w:t>
      </w:r>
      <w:r w:rsidRPr="00B44D22">
        <w:rPr>
          <w:bCs/>
        </w:rPr>
        <w:t>.</w:t>
      </w:r>
      <w:r w:rsidRPr="00B44D22">
        <w:rPr>
          <w:b/>
          <w:bCs/>
        </w:rPr>
        <w:t xml:space="preserve"> </w:t>
      </w:r>
      <w:r>
        <w:t xml:space="preserve">Пространственно-временные картины формирования и контракции объемного разряда в аргоне </w:t>
      </w:r>
      <w:r w:rsidRPr="00B44D22">
        <w:t>(</w:t>
      </w:r>
      <w:r w:rsidRPr="00B44D22">
        <w:rPr>
          <w:i/>
          <w:lang w:val="en-US"/>
        </w:rPr>
        <w:t>p</w:t>
      </w:r>
      <w:r w:rsidRPr="00B44D22">
        <w:rPr>
          <w:i/>
        </w:rPr>
        <w:t xml:space="preserve"> </w:t>
      </w:r>
      <w:r w:rsidRPr="00B44D22">
        <w:t xml:space="preserve">= 1атм, </w:t>
      </w:r>
      <w:r w:rsidRPr="00B44D22">
        <w:rPr>
          <w:i/>
          <w:lang w:val="en-US"/>
        </w:rPr>
        <w:t>d</w:t>
      </w:r>
      <w:r w:rsidRPr="00B44D22">
        <w:rPr>
          <w:i/>
        </w:rPr>
        <w:t xml:space="preserve"> </w:t>
      </w:r>
      <w:r w:rsidRPr="00B44D22">
        <w:t xml:space="preserve">= 1см, </w:t>
      </w:r>
      <w:r w:rsidRPr="00B44D22">
        <w:rPr>
          <w:bCs/>
          <w:i/>
        </w:rPr>
        <w:t>Е</w:t>
      </w:r>
      <w:r w:rsidRPr="00B44D22">
        <w:rPr>
          <w:bCs/>
        </w:rPr>
        <w:t>/</w:t>
      </w:r>
      <w:r w:rsidRPr="00B44D22">
        <w:rPr>
          <w:bCs/>
          <w:i/>
        </w:rPr>
        <w:t xml:space="preserve">р </w:t>
      </w:r>
      <w:r w:rsidRPr="00B44D22">
        <w:rPr>
          <w:bCs/>
        </w:rPr>
        <w:t>= 10.53 В/см∙Торр</w:t>
      </w:r>
      <w:r w:rsidRPr="00B44D22">
        <w:t>):</w:t>
      </w:r>
    </w:p>
    <w:p w:rsidR="00AD22FC" w:rsidRPr="00B44D22" w:rsidRDefault="00AD22FC" w:rsidP="00AD22FC">
      <w:pPr>
        <w:pStyle w:val="Zv-bodyreport"/>
        <w:spacing w:before="120"/>
      </w:pPr>
      <w:r>
        <w:t>Р</w:t>
      </w:r>
      <w:r w:rsidRPr="00B44D22">
        <w:t>езультаты экспериментальных исследований картин формирования импульсного разряда в аргоне атмосферного давления показыва</w:t>
      </w:r>
      <w:r>
        <w:t>ю</w:t>
      </w:r>
      <w:r w:rsidRPr="00B44D22">
        <w:t>т, что в предварительно ионизированной среде (</w:t>
      </w:r>
      <w:r w:rsidRPr="00B44D22">
        <w:rPr>
          <w:i/>
        </w:rPr>
        <w:t>n</w:t>
      </w:r>
      <w:r w:rsidRPr="00B44D22">
        <w:rPr>
          <w:i/>
          <w:vertAlign w:val="subscript"/>
        </w:rPr>
        <w:t xml:space="preserve">0 </w:t>
      </w:r>
      <w:r w:rsidRPr="00B44D22">
        <w:sym w:font="Symbol" w:char="F0BB"/>
      </w:r>
      <w:r w:rsidRPr="00B44D22">
        <w:t>10</w:t>
      </w:r>
      <w:r w:rsidRPr="00B44D22">
        <w:rPr>
          <w:vertAlign w:val="superscript"/>
        </w:rPr>
        <w:t>7</w:t>
      </w:r>
      <w:r w:rsidRPr="00B44D22">
        <w:t xml:space="preserve"> см</w:t>
      </w:r>
      <w:r w:rsidRPr="00B44D22">
        <w:rPr>
          <w:vertAlign w:val="superscript"/>
        </w:rPr>
        <w:t>-3</w:t>
      </w:r>
      <w:r w:rsidRPr="00B44D22">
        <w:t xml:space="preserve">) при незначительных перенапряжениях </w:t>
      </w:r>
      <w:r w:rsidRPr="00B44D22">
        <w:rPr>
          <w:i/>
        </w:rPr>
        <w:t>W</w:t>
      </w:r>
      <w:r w:rsidRPr="00B44D22">
        <w:t xml:space="preserve">=10-100 % возможна объемная форма протекания разряда. Формирование плазменного столба происходит в процессе распространяется к катоду волны ионизации со скоростью </w:t>
      </w:r>
      <w:fldSimple w:instr="SYMBOL 187 \f &quot;Symbol&quot; \s 14">
        <w:r w:rsidRPr="00B44D22">
          <w:t>»</w:t>
        </w:r>
      </w:fldSimple>
      <w:r w:rsidRPr="00B44D22">
        <w:t>2-5</w:t>
      </w:r>
      <w:fldSimple w:instr="SYMBOL 215 \f &quot;Symbol&quot; \s 14">
        <w:r w:rsidRPr="00B44D22">
          <w:t>Ч</w:t>
        </w:r>
      </w:fldSimple>
      <w:r w:rsidRPr="00B44D22">
        <w:t>10</w:t>
      </w:r>
      <w:r w:rsidRPr="00B44D22">
        <w:rPr>
          <w:vertAlign w:val="superscript"/>
        </w:rPr>
        <w:t>7</w:t>
      </w:r>
      <w:r w:rsidRPr="00B44D22">
        <w:t xml:space="preserve"> см/с. По мере продвижения фронта свечения к катоду электронная концентрация в нем возрастает и достигает значений </w:t>
      </w:r>
      <w:r w:rsidRPr="00B44D22">
        <w:sym w:font="Symbol" w:char="F0BB"/>
      </w:r>
      <w:r w:rsidRPr="00B44D22">
        <w:t>10</w:t>
      </w:r>
      <w:r w:rsidRPr="00B44D22">
        <w:rPr>
          <w:vertAlign w:val="superscript"/>
        </w:rPr>
        <w:t>13</w:t>
      </w:r>
      <w:r w:rsidRPr="00B44D22">
        <w:t>-10</w:t>
      </w:r>
      <w:r w:rsidRPr="00B44D22">
        <w:rPr>
          <w:vertAlign w:val="superscript"/>
        </w:rPr>
        <w:t>14</w:t>
      </w:r>
      <w:r w:rsidRPr="00B44D22">
        <w:t xml:space="preserve"> см</w:t>
      </w:r>
      <w:r w:rsidRPr="00B44D22">
        <w:rPr>
          <w:vertAlign w:val="superscript"/>
        </w:rPr>
        <w:t>-3</w:t>
      </w:r>
      <w:r>
        <w:t>.</w:t>
      </w:r>
    </w:p>
    <w:p w:rsidR="00AD22FC" w:rsidRDefault="00AD22FC" w:rsidP="00AD22FC">
      <w:pPr>
        <w:pStyle w:val="Zv-TitleReferences-ru"/>
      </w:pPr>
      <w:r>
        <w:t>Литература.</w:t>
      </w:r>
    </w:p>
    <w:p w:rsidR="00AD22FC" w:rsidRPr="00B50428" w:rsidRDefault="00AD22FC" w:rsidP="00AD22FC">
      <w:pPr>
        <w:pStyle w:val="Zv-References-en"/>
        <w:rPr>
          <w:szCs w:val="18"/>
          <w:shd w:val="clear" w:color="auto" w:fill="F5F5F5"/>
        </w:rPr>
      </w:pPr>
      <w:r w:rsidRPr="00B50428">
        <w:rPr>
          <w:lang w:val="ru-RU"/>
        </w:rPr>
        <w:t>Курбанисмаилов В.С., Омаров О.А., Рагимханов Г.Б. и др.//</w:t>
      </w:r>
      <w:hyperlink r:id="rId19" w:history="1">
        <w:r w:rsidRPr="00B50428">
          <w:t>Физика</w:t>
        </w:r>
      </w:hyperlink>
      <w:r w:rsidRPr="00B50428">
        <w:t xml:space="preserve"> плазмы. 2016. Т. 42. </w:t>
      </w:r>
      <w:hyperlink r:id="rId20" w:history="1">
        <w:r w:rsidRPr="00B50428">
          <w:t>№ 7</w:t>
        </w:r>
      </w:hyperlink>
      <w:r w:rsidRPr="00B50428">
        <w:t>. С. 687-698.</w:t>
      </w:r>
    </w:p>
    <w:p w:rsidR="00AD22FC" w:rsidRPr="00B50428" w:rsidRDefault="00AD22FC" w:rsidP="00AD22FC">
      <w:pPr>
        <w:pStyle w:val="Zv-References-en"/>
      </w:pPr>
      <w:r w:rsidRPr="00E72FB4">
        <w:rPr>
          <w:lang w:val="ru-RU"/>
        </w:rPr>
        <w:t>Курбанисмаилов В.С., Омаров О.А. Рагимханов Г.Б., Абакарова Х.М.//</w:t>
      </w:r>
      <w:r w:rsidRPr="00E72FB4">
        <w:rPr>
          <w:szCs w:val="24"/>
          <w:lang w:val="ru-RU"/>
        </w:rPr>
        <w:t xml:space="preserve">УПФ.2014. </w:t>
      </w:r>
      <w:r w:rsidRPr="00B50428">
        <w:rPr>
          <w:szCs w:val="24"/>
        </w:rPr>
        <w:t>Т.2. №3. С.234-242.</w:t>
      </w:r>
    </w:p>
    <w:sectPr w:rsidR="00AD22FC" w:rsidRPr="00B50428" w:rsidSect="00F951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B0" w:rsidRDefault="009E75B0">
      <w:r>
        <w:separator/>
      </w:r>
    </w:p>
  </w:endnote>
  <w:endnote w:type="continuationSeparator" w:id="0">
    <w:p w:rsidR="009E75B0" w:rsidRDefault="009E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02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02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2F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B0" w:rsidRDefault="009E75B0">
      <w:r>
        <w:separator/>
      </w:r>
    </w:p>
  </w:footnote>
  <w:footnote w:type="continuationSeparator" w:id="0">
    <w:p w:rsidR="009E75B0" w:rsidRDefault="009E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D22F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8022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5B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0229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9E75B0"/>
    <w:rsid w:val="00AA2CE7"/>
    <w:rsid w:val="00AB58B3"/>
    <w:rsid w:val="00AD22F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F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D2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onokd@gmail.com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vali_60@mail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s://elibrary.ru/contents.asp?issueid=1640118&amp;selid=270941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elibrary.ru/contents.asp?issueid=16401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ФОРМИРОВАНИЯ ОБЪЕМНОГО РАЗРЯДА В АРГОНЕ В УСЛОВИЯХ ПРЕДВАРИТЕЛЬНОЙ ИОНИЗАЦИИ ГАЗА</dc:title>
  <dc:creator>sato</dc:creator>
  <cp:lastModifiedBy>Сатунин</cp:lastModifiedBy>
  <cp:revision>1</cp:revision>
  <cp:lastPrinted>1601-01-01T00:00:00Z</cp:lastPrinted>
  <dcterms:created xsi:type="dcterms:W3CDTF">2018-02-20T12:48:00Z</dcterms:created>
  <dcterms:modified xsi:type="dcterms:W3CDTF">2018-02-20T12:55:00Z</dcterms:modified>
</cp:coreProperties>
</file>