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04" w:rsidRDefault="00052904" w:rsidP="00052904">
      <w:pPr>
        <w:pStyle w:val="Zv-Titlereport"/>
      </w:pPr>
      <w:r w:rsidRPr="00647C4F">
        <w:t>ВЛИЯНИЕ ЗОНЫ, АКТИВИРОВАННОЙ НЕРАВНОВЕСНЫМ ЭЛЕКТРИЧЕСКИМ РАЗРЯДОМ, НА РАСПРОСТРАНЕНИЕ ВОЛНЫ ГОРЕНИЯ ПРИ ВЫСОКИХ ДАВЛЕНИЯХ В ЗАМКНУТОМ ОБЪЕМЕ</w:t>
      </w:r>
    </w:p>
    <w:p w:rsidR="00052904" w:rsidRDefault="00052904" w:rsidP="00052904">
      <w:pPr>
        <w:pStyle w:val="Zv-Author"/>
      </w:pPr>
      <w:r w:rsidRPr="002F57C7">
        <w:rPr>
          <w:u w:val="single"/>
        </w:rPr>
        <w:t>Филимонова Е.А.</w:t>
      </w:r>
      <w:r>
        <w:t>, Добровольская А.С., Бочаров А.Н., Битюрин В.А.</w:t>
      </w:r>
    </w:p>
    <w:p w:rsidR="00052904" w:rsidRPr="00052904" w:rsidRDefault="00052904" w:rsidP="00052904">
      <w:pPr>
        <w:pStyle w:val="Zv-Organization"/>
        <w:rPr>
          <w:rStyle w:val="a8"/>
          <w:color w:val="auto"/>
        </w:rPr>
      </w:pPr>
      <w:r>
        <w:t xml:space="preserve">Объединенный институт высоких температур РАН, Москва, РФ, </w:t>
      </w:r>
      <w:hyperlink r:id="rId7" w:history="1">
        <w:r w:rsidRPr="00373E0D">
          <w:rPr>
            <w:rStyle w:val="a8"/>
            <w:lang w:val="en-US"/>
          </w:rPr>
          <w:t>helfil</w:t>
        </w:r>
        <w:r w:rsidRPr="00373E0D">
          <w:rPr>
            <w:rStyle w:val="a8"/>
          </w:rPr>
          <w:t>@</w:t>
        </w:r>
        <w:r w:rsidRPr="00373E0D">
          <w:rPr>
            <w:rStyle w:val="a8"/>
            <w:lang w:val="en-US"/>
          </w:rPr>
          <w:t>mail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en-US"/>
          </w:rPr>
          <w:t>ru</w:t>
        </w:r>
      </w:hyperlink>
      <w:r w:rsidRPr="00373E0D">
        <w:t xml:space="preserve">, </w:t>
      </w:r>
      <w:hyperlink r:id="rId8" w:history="1">
        <w:r w:rsidRPr="00600C1A">
          <w:rPr>
            <w:rStyle w:val="a8"/>
            <w:lang w:val="en-US"/>
          </w:rPr>
          <w:t>dobrovolskaya</w:t>
        </w:r>
        <w:r w:rsidRPr="00600C1A">
          <w:rPr>
            <w:rStyle w:val="a8"/>
          </w:rPr>
          <w:t>.</w:t>
        </w:r>
        <w:r w:rsidRPr="00600C1A">
          <w:rPr>
            <w:rStyle w:val="a8"/>
            <w:lang w:val="en-US"/>
          </w:rPr>
          <w:t>anastasia</w:t>
        </w:r>
        <w:r w:rsidRPr="00600C1A">
          <w:rPr>
            <w:rStyle w:val="a8"/>
          </w:rPr>
          <w:t>@</w:t>
        </w:r>
        <w:r w:rsidRPr="00600C1A">
          <w:rPr>
            <w:rStyle w:val="a8"/>
            <w:lang w:val="en-US"/>
          </w:rPr>
          <w:t>gmail</w:t>
        </w:r>
        <w:r w:rsidRPr="00600C1A">
          <w:rPr>
            <w:rStyle w:val="a8"/>
          </w:rPr>
          <w:t>.</w:t>
        </w:r>
        <w:r w:rsidRPr="00600C1A">
          <w:rPr>
            <w:rStyle w:val="a8"/>
            <w:lang w:val="en-US"/>
          </w:rPr>
          <w:t>com</w:t>
        </w:r>
      </w:hyperlink>
      <w:r>
        <w:t xml:space="preserve">, </w:t>
      </w:r>
      <w:hyperlink r:id="rId9" w:history="1">
        <w:r w:rsidRPr="00373E0D">
          <w:rPr>
            <w:rStyle w:val="a8"/>
          </w:rPr>
          <w:t>bocharov@ihed.ras.ru</w:t>
        </w:r>
      </w:hyperlink>
      <w:r w:rsidRPr="00373E0D">
        <w:t xml:space="preserve">, </w:t>
      </w:r>
      <w:hyperlink r:id="rId10" w:history="1">
        <w:r w:rsidRPr="00373E0D">
          <w:rPr>
            <w:rStyle w:val="a8"/>
            <w:lang w:val="fr-FR"/>
          </w:rPr>
          <w:t>valentin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fr-FR"/>
          </w:rPr>
          <w:t>bityurin</w:t>
        </w:r>
        <w:r w:rsidRPr="00373E0D">
          <w:rPr>
            <w:rStyle w:val="a8"/>
          </w:rPr>
          <w:t>@</w:t>
        </w:r>
        <w:r w:rsidRPr="00373E0D">
          <w:rPr>
            <w:rStyle w:val="a8"/>
            <w:lang w:val="fr-FR"/>
          </w:rPr>
          <w:t>gmail</w:t>
        </w:r>
        <w:r w:rsidRPr="00373E0D">
          <w:rPr>
            <w:rStyle w:val="a8"/>
          </w:rPr>
          <w:t>.</w:t>
        </w:r>
        <w:r w:rsidRPr="00373E0D">
          <w:rPr>
            <w:rStyle w:val="a8"/>
            <w:lang w:val="fr-FR"/>
          </w:rPr>
          <w:t>com</w:t>
        </w:r>
      </w:hyperlink>
    </w:p>
    <w:p w:rsidR="00052904" w:rsidRDefault="00052904" w:rsidP="00052904">
      <w:pPr>
        <w:pStyle w:val="Zv-bodyreport"/>
      </w:pPr>
      <w:r w:rsidRPr="00492469">
        <w:t xml:space="preserve">Для расширения условий работы </w:t>
      </w:r>
      <w:r>
        <w:t xml:space="preserve">компрессионного </w:t>
      </w:r>
      <w:r w:rsidRPr="00492469">
        <w:t>двигателя</w:t>
      </w:r>
      <w:r>
        <w:t xml:space="preserve"> внутреннего сгорания с гомогенным зарядом (</w:t>
      </w:r>
      <w:r>
        <w:rPr>
          <w:lang w:val="en-US"/>
        </w:rPr>
        <w:t>HCCI</w:t>
      </w:r>
      <w:r w:rsidRPr="005116DA">
        <w:t xml:space="preserve"> </w:t>
      </w:r>
      <w:r>
        <w:rPr>
          <w:lang w:val="en-US"/>
        </w:rPr>
        <w:t>engine</w:t>
      </w:r>
      <w:r w:rsidRPr="005116DA">
        <w:t>)</w:t>
      </w:r>
      <w:r>
        <w:t xml:space="preserve"> </w:t>
      </w:r>
      <w:r w:rsidRPr="00492469">
        <w:t xml:space="preserve">рассматривается </w:t>
      </w:r>
      <w:r>
        <w:t>создание</w:t>
      </w:r>
      <w:r w:rsidRPr="00492469">
        <w:t xml:space="preserve"> гибридных двигателей </w:t>
      </w:r>
      <w:r>
        <w:t>(</w:t>
      </w:r>
      <w:r w:rsidRPr="00492469">
        <w:t>spark-assisted HCCI</w:t>
      </w:r>
      <w:r>
        <w:t xml:space="preserve"> </w:t>
      </w:r>
      <w:r w:rsidRPr="00492469">
        <w:t>engines</w:t>
      </w:r>
      <w:r>
        <w:t>), в которых</w:t>
      </w:r>
      <w:r w:rsidRPr="00492469">
        <w:t xml:space="preserve"> предлагается использовать искровой разряд небольшой мощности на стадии сжатия топлива [</w:t>
      </w:r>
      <w:r w:rsidRPr="005116DA">
        <w:t>1</w:t>
      </w:r>
      <w:r w:rsidRPr="00D36E60">
        <w:t>]</w:t>
      </w:r>
      <w:r>
        <w:t xml:space="preserve">. Образование горячей области </w:t>
      </w:r>
      <w:r w:rsidRPr="00592777">
        <w:t>в окрестности искры</w:t>
      </w:r>
      <w:r>
        <w:t xml:space="preserve"> стимулирует выделение тепла на низкотемпературной стадии</w:t>
      </w:r>
      <w:r w:rsidRPr="005116DA">
        <w:t xml:space="preserve"> </w:t>
      </w:r>
      <w:r>
        <w:t>окисления в остальной части топливно-воздушной смеси за счет повышения давления перед фронтом распростра-няющегося пламени. Этот процесс приводит к авто</w:t>
      </w:r>
      <w:r w:rsidRPr="00380770">
        <w:t>-</w:t>
      </w:r>
      <w:r>
        <w:t>воспламенению несгоревшей части смеси и вызывает более быстрое выделение тепла в результате роста полного давления в цилиндре. Таким образом можно управлять временем задержки воспламенения в камере сгорания.</w:t>
      </w:r>
    </w:p>
    <w:p w:rsidR="00052904" w:rsidRPr="004B73FC" w:rsidRDefault="00052904" w:rsidP="00052904">
      <w:pPr>
        <w:ind w:firstLine="284"/>
        <w:jc w:val="both"/>
      </w:pPr>
      <w:r>
        <w:t>Для уменьшения времени возникновения фронта пламени в бедных смесях, вместо одного очагового образования горячей области</w:t>
      </w:r>
      <w:r w:rsidRPr="00F36722">
        <w:t xml:space="preserve"> предлагается </w:t>
      </w:r>
      <w:r>
        <w:t>создавать вблизи верхней «мертвой» точки</w:t>
      </w:r>
      <w:r w:rsidRPr="00F36722">
        <w:t xml:space="preserve"> распределенный поджиг</w:t>
      </w:r>
      <w:r>
        <w:t>, который осуществляется при помощи наносекундных импульсных разрядов в многоимпульсном режиме с длительностью импульса ~200-</w:t>
      </w:r>
      <w:r w:rsidRPr="005116DA">
        <w:t xml:space="preserve">300 </w:t>
      </w:r>
      <w:r>
        <w:t>нс. Объем зоны активации, состоящей из множества разрядных филаментов, достигает несколько см</w:t>
      </w:r>
      <w:r w:rsidRPr="004B73FC">
        <w:rPr>
          <w:vertAlign w:val="superscript"/>
        </w:rPr>
        <w:t>3</w:t>
      </w:r>
      <w:r>
        <w:t xml:space="preserve"> и больше</w:t>
      </w:r>
      <w:r>
        <w:rPr>
          <w:bCs/>
          <w:color w:val="000000"/>
        </w:rPr>
        <w:t xml:space="preserve"> </w:t>
      </w:r>
      <w:r w:rsidRPr="005116DA">
        <w:rPr>
          <w:bCs/>
          <w:color w:val="000000"/>
        </w:rPr>
        <w:t>[2]</w:t>
      </w:r>
      <w:r>
        <w:rPr>
          <w:bCs/>
          <w:color w:val="000000"/>
        </w:rPr>
        <w:t>.</w:t>
      </w:r>
      <w:r w:rsidRPr="005116DA">
        <w:rPr>
          <w:bCs/>
          <w:color w:val="000000"/>
        </w:rPr>
        <w:t xml:space="preserve"> </w:t>
      </w:r>
      <w:r>
        <w:rPr>
          <w:bCs/>
          <w:color w:val="000000"/>
        </w:rPr>
        <w:t>Однако механизм неравновесного разрядного воздействия на процессы воспламенения и горения в закрытом объеме во многом остается непонятым.</w:t>
      </w:r>
    </w:p>
    <w:p w:rsidR="00052904" w:rsidRDefault="00052904" w:rsidP="00052904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Данная работа посвящена исследованию воспламенения и формирования волны горения с возможным последующим переходом в авто-воспламенение всего объема в пропано-воздушной смеси. Инициатором волны горения является неравновесный разряд, часть энергии которого идет в тепло, а часть – на создание химически активных частиц. Размер области активации разрядом варьировался:</w:t>
      </w:r>
      <w:r w:rsidRPr="006F2F0E">
        <w:rPr>
          <w:bCs/>
          <w:i/>
          <w:color w:val="000000"/>
        </w:rPr>
        <w:t xml:space="preserve"> </w:t>
      </w:r>
      <w:r w:rsidRPr="007F7979">
        <w:rPr>
          <w:bCs/>
          <w:i/>
          <w:color w:val="000000"/>
          <w:lang w:val="en-US"/>
        </w:rPr>
        <w:t>d</w:t>
      </w:r>
      <w:r w:rsidRPr="006F2F0E">
        <w:rPr>
          <w:bCs/>
          <w:color w:val="000000"/>
        </w:rPr>
        <w:t xml:space="preserve">=0.25, 0.5, 1 </w:t>
      </w:r>
      <w:r>
        <w:rPr>
          <w:bCs/>
          <w:color w:val="000000"/>
        </w:rPr>
        <w:t xml:space="preserve">см; радиус цилиндра </w:t>
      </w:r>
      <w:r w:rsidRPr="006F2F0E">
        <w:rPr>
          <w:bCs/>
          <w:i/>
          <w:color w:val="000000"/>
          <w:lang w:val="en-US"/>
        </w:rPr>
        <w:t>D</w:t>
      </w:r>
      <w:r>
        <w:rPr>
          <w:bCs/>
          <w:color w:val="000000"/>
        </w:rPr>
        <w:t xml:space="preserve">=5 см. Численная модель </w:t>
      </w:r>
      <w:r w:rsidRPr="007772E9">
        <w:rPr>
          <w:bCs/>
          <w:color w:val="000000"/>
        </w:rPr>
        <w:t>1</w:t>
      </w:r>
      <w:r>
        <w:rPr>
          <w:bCs/>
          <w:color w:val="000000"/>
          <w:lang w:val="en-US"/>
        </w:rPr>
        <w:t>D</w:t>
      </w:r>
      <w:r>
        <w:rPr>
          <w:bCs/>
          <w:color w:val="000000"/>
        </w:rPr>
        <w:t xml:space="preserve"> основана на решении уравнений Навье-Стокса</w:t>
      </w:r>
      <w:r w:rsidRPr="007772E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осе-симметричной постановке. Химическая кинетическая модель включает 103 компонента, участвующих в 700 реакциях. Начальные концентрации химически активных частиц, наработанных разрядом, определялись в приближении  постоянного электрического поля для различных величин энерговклада </w:t>
      </w:r>
      <w:r w:rsidRPr="00CA0131">
        <w:rPr>
          <w:bCs/>
          <w:i/>
          <w:color w:val="000000"/>
          <w:lang w:val="en-US"/>
        </w:rPr>
        <w:t>Q</w:t>
      </w:r>
      <w:r>
        <w:rPr>
          <w:bCs/>
          <w:color w:val="000000"/>
        </w:rPr>
        <w:t>. Начальные условия соответствуют параметрам на стадии сжатия в компрессионном двигателе. Выбраны три пары значений: 1) Т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=600 К, P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</w:t>
      </w:r>
      <w:r w:rsidRPr="007F7979">
        <w:rPr>
          <w:bCs/>
          <w:color w:val="000000"/>
        </w:rPr>
        <w:t>6.7</w:t>
      </w:r>
      <w:r>
        <w:rPr>
          <w:bCs/>
          <w:color w:val="000000"/>
        </w:rPr>
        <w:t xml:space="preserve"> бар; 2) Т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=700К, P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=12</w:t>
      </w:r>
      <w:r w:rsidRPr="007F7979">
        <w:rPr>
          <w:bCs/>
          <w:color w:val="000000"/>
        </w:rPr>
        <w:t>.</w:t>
      </w:r>
      <w:r>
        <w:rPr>
          <w:bCs/>
          <w:color w:val="000000"/>
        </w:rPr>
        <w:t>4 бар; 3) Т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=925 К, P</w:t>
      </w:r>
      <w:r w:rsidRPr="00BD61D8">
        <w:rPr>
          <w:bCs/>
          <w:color w:val="000000"/>
          <w:vertAlign w:val="subscript"/>
        </w:rPr>
        <w:t>0</w:t>
      </w:r>
      <w:r>
        <w:rPr>
          <w:bCs/>
          <w:color w:val="000000"/>
        </w:rPr>
        <w:t>=42 бар</w:t>
      </w:r>
      <w:r w:rsidRPr="007F7979">
        <w:rPr>
          <w:bCs/>
          <w:color w:val="000000"/>
        </w:rPr>
        <w:t>.</w:t>
      </w:r>
    </w:p>
    <w:p w:rsidR="00052904" w:rsidRDefault="00052904" w:rsidP="00052904">
      <w:pPr>
        <w:ind w:firstLine="284"/>
        <w:jc w:val="both"/>
        <w:rPr>
          <w:bCs/>
          <w:color w:val="000000"/>
        </w:rPr>
      </w:pPr>
      <w:r w:rsidRPr="00AF0985">
        <w:rPr>
          <w:bCs/>
          <w:color w:val="000000"/>
        </w:rPr>
        <w:t xml:space="preserve">В результате расчетов было показано, что для </w:t>
      </w:r>
      <w:r w:rsidRPr="009777FC">
        <w:rPr>
          <w:bCs/>
          <w:i/>
          <w:color w:val="000000"/>
        </w:rPr>
        <w:t>Q</w:t>
      </w:r>
      <w:r w:rsidRPr="00AF0985">
        <w:rPr>
          <w:bCs/>
          <w:color w:val="000000"/>
        </w:rPr>
        <w:t xml:space="preserve">=0.05 эВ/молек только в третьем случае  происходит формирование волны горения с переходом в авто-воспламенение при всех указанных </w:t>
      </w:r>
      <w:r w:rsidRPr="00181723">
        <w:rPr>
          <w:bCs/>
          <w:i/>
          <w:color w:val="000000"/>
        </w:rPr>
        <w:t xml:space="preserve"> d</w:t>
      </w:r>
      <w:r w:rsidRPr="00AF0985">
        <w:rPr>
          <w:bCs/>
          <w:color w:val="000000"/>
        </w:rPr>
        <w:t xml:space="preserve"> на временах 3.6 мс, 2.5 мс и 0.9 мс. Чем больше область активации, тем быстрее происходит авто-воспламенение всего объема. Однако, если энерговклад увеличить в два раза, то при </w:t>
      </w:r>
      <w:r w:rsidRPr="00181723">
        <w:rPr>
          <w:bCs/>
          <w:i/>
          <w:color w:val="000000"/>
        </w:rPr>
        <w:t>d</w:t>
      </w:r>
      <w:r w:rsidRPr="00AF0985">
        <w:rPr>
          <w:bCs/>
          <w:color w:val="000000"/>
        </w:rPr>
        <w:t>=1 см и Т</w:t>
      </w:r>
      <w:r w:rsidRPr="00290E0F">
        <w:rPr>
          <w:bCs/>
          <w:color w:val="000000"/>
          <w:vertAlign w:val="subscript"/>
        </w:rPr>
        <w:t>0</w:t>
      </w:r>
      <w:r w:rsidRPr="00AF0985">
        <w:rPr>
          <w:bCs/>
          <w:color w:val="000000"/>
        </w:rPr>
        <w:t>=700 К, P</w:t>
      </w:r>
      <w:r w:rsidRPr="00290E0F">
        <w:rPr>
          <w:bCs/>
          <w:color w:val="000000"/>
          <w:vertAlign w:val="subscript"/>
        </w:rPr>
        <w:t>0</w:t>
      </w:r>
      <w:r w:rsidRPr="00AF0985">
        <w:rPr>
          <w:bCs/>
          <w:color w:val="000000"/>
        </w:rPr>
        <w:t>=12.4 бар также происходит формирование волны горения с авто-воспламенением</w:t>
      </w:r>
      <w:r>
        <w:rPr>
          <w:bCs/>
          <w:color w:val="000000"/>
        </w:rPr>
        <w:t xml:space="preserve"> </w:t>
      </w:r>
      <w:r w:rsidRPr="00AF0985">
        <w:rPr>
          <w:bCs/>
          <w:color w:val="000000"/>
        </w:rPr>
        <w:t>на временах ~</w:t>
      </w:r>
      <w:r>
        <w:rPr>
          <w:bCs/>
          <w:color w:val="000000"/>
        </w:rPr>
        <w:t>7</w:t>
      </w:r>
      <w:r w:rsidRPr="00AF0985">
        <w:rPr>
          <w:bCs/>
          <w:color w:val="000000"/>
        </w:rPr>
        <w:t xml:space="preserve"> мс</w:t>
      </w:r>
      <w:r>
        <w:rPr>
          <w:bCs/>
          <w:color w:val="000000"/>
        </w:rPr>
        <w:t xml:space="preserve">. </w:t>
      </w:r>
      <w:r w:rsidRPr="00AF0985">
        <w:rPr>
          <w:bCs/>
          <w:color w:val="000000"/>
        </w:rPr>
        <w:t>Без активации разрядом смеси волна горения не формируется и авто-воспламенения не происходит. В работе показан механизм инициации волны горения и последующего авто-воспламенения в условиях активации разрядом</w:t>
      </w:r>
      <w:r>
        <w:rPr>
          <w:bCs/>
          <w:color w:val="000000"/>
        </w:rPr>
        <w:t>.</w:t>
      </w:r>
    </w:p>
    <w:p w:rsidR="00052904" w:rsidRDefault="00052904" w:rsidP="00052904">
      <w:pPr>
        <w:ind w:firstLine="284"/>
      </w:pPr>
      <w:r>
        <w:t>Работа выполнена при финансовой поддержке РФФИ (грант 17-52-16002 и 17-52-16003) в рамках проекта Международной Ассоциированной Лаборатории (Франция-Россия).</w:t>
      </w:r>
      <w:r>
        <w:rPr>
          <w:lang w:val="en-US"/>
        </w:rPr>
        <w:t> </w:t>
      </w:r>
    </w:p>
    <w:p w:rsidR="00052904" w:rsidRPr="00AF0985" w:rsidRDefault="00052904" w:rsidP="00052904">
      <w:pPr>
        <w:pStyle w:val="Zv-TitleReferences-ru"/>
      </w:pPr>
      <w:r w:rsidRPr="00AF0985">
        <w:t>Литература.</w:t>
      </w:r>
    </w:p>
    <w:p w:rsidR="00052904" w:rsidRPr="00030587" w:rsidRDefault="00052904" w:rsidP="00052904">
      <w:pPr>
        <w:pStyle w:val="Zv-References-ru"/>
      </w:pPr>
      <w:r>
        <w:t>Dahms</w:t>
      </w:r>
      <w:r w:rsidRPr="00AF0985">
        <w:t xml:space="preserve"> </w:t>
      </w:r>
      <w:r>
        <w:t>R., Felsch</w:t>
      </w:r>
      <w:r w:rsidRPr="00AF0985">
        <w:t xml:space="preserve"> </w:t>
      </w:r>
      <w:r>
        <w:t>C., Rohl</w:t>
      </w:r>
      <w:r w:rsidRPr="00AF0985">
        <w:t xml:space="preserve"> </w:t>
      </w:r>
      <w:r>
        <w:t>O., Peters</w:t>
      </w:r>
      <w:r w:rsidRPr="00AF0985">
        <w:t xml:space="preserve"> </w:t>
      </w:r>
      <w:r>
        <w:t xml:space="preserve">N. </w:t>
      </w:r>
      <w:r w:rsidRPr="00DC292A">
        <w:t>Proceed</w:t>
      </w:r>
      <w:r>
        <w:t>.</w:t>
      </w:r>
      <w:r w:rsidRPr="00DC292A">
        <w:t xml:space="preserve"> Comb</w:t>
      </w:r>
      <w:r>
        <w:t>.</w:t>
      </w:r>
      <w:r w:rsidRPr="00DC292A">
        <w:t xml:space="preserve"> Instit</w:t>
      </w:r>
      <w:r>
        <w:t>.,</w:t>
      </w:r>
      <w:r w:rsidRPr="00DC292A">
        <w:t xml:space="preserve"> </w:t>
      </w:r>
      <w:r w:rsidRPr="00E73BD2">
        <w:t>2011</w:t>
      </w:r>
      <w:r>
        <w:t>,</w:t>
      </w:r>
      <w:r w:rsidRPr="00AF0985">
        <w:t xml:space="preserve"> </w:t>
      </w:r>
      <w:r>
        <w:t xml:space="preserve">v. </w:t>
      </w:r>
      <w:r w:rsidRPr="00DC292A">
        <w:t>33</w:t>
      </w:r>
      <w:r>
        <w:rPr>
          <w:b/>
        </w:rPr>
        <w:t>,</w:t>
      </w:r>
      <w:r>
        <w:t xml:space="preserve"> p.3023.</w:t>
      </w:r>
    </w:p>
    <w:p w:rsidR="00052904" w:rsidRPr="00D5016D" w:rsidRDefault="00052904" w:rsidP="00052904">
      <w:pPr>
        <w:pStyle w:val="Zv-References-ru"/>
      </w:pPr>
      <w:r w:rsidRPr="00576764">
        <w:t>Schenk</w:t>
      </w:r>
      <w:r>
        <w:t xml:space="preserve"> </w:t>
      </w:r>
      <w:r w:rsidRPr="00576764">
        <w:t>A</w:t>
      </w:r>
      <w:r>
        <w:t>.</w:t>
      </w:r>
      <w:r w:rsidRPr="00576764">
        <w:t>, Rixecker</w:t>
      </w:r>
      <w:r>
        <w:t xml:space="preserve"> </w:t>
      </w:r>
      <w:r w:rsidRPr="00576764">
        <w:t>G</w:t>
      </w:r>
      <w:r>
        <w:t>.</w:t>
      </w:r>
      <w:r w:rsidRPr="00576764">
        <w:t>, Bohne</w:t>
      </w:r>
      <w:r>
        <w:t xml:space="preserve"> </w:t>
      </w:r>
      <w:r w:rsidRPr="00576764">
        <w:t>S</w:t>
      </w:r>
      <w:r>
        <w:t>.</w:t>
      </w:r>
      <w:r w:rsidRPr="00576764">
        <w:t xml:space="preserve"> </w:t>
      </w:r>
      <w:r w:rsidRPr="00DC292A">
        <w:t>Laser Ignition Conference (LIC)</w:t>
      </w:r>
      <w:r w:rsidRPr="00576764">
        <w:t xml:space="preserve">, </w:t>
      </w:r>
      <w:r>
        <w:t xml:space="preserve">2015, </w:t>
      </w:r>
      <w:r w:rsidRPr="00576764">
        <w:t>W4A.4.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3A" w:rsidRDefault="00014D3A">
      <w:r>
        <w:separator/>
      </w:r>
    </w:p>
  </w:endnote>
  <w:endnote w:type="continuationSeparator" w:id="0">
    <w:p w:rsidR="00014D3A" w:rsidRDefault="00014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71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71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90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3A" w:rsidRDefault="00014D3A">
      <w:r>
        <w:separator/>
      </w:r>
    </w:p>
  </w:footnote>
  <w:footnote w:type="continuationSeparator" w:id="0">
    <w:p w:rsidR="00014D3A" w:rsidRDefault="00014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5290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471A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D3A"/>
    <w:rsid w:val="00014D3A"/>
    <w:rsid w:val="0002206C"/>
    <w:rsid w:val="00043701"/>
    <w:rsid w:val="00052904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1A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9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0529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volskaya.anastasi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fil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alentin.bityur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charov@ihed.ras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ЗОНЫ, АКТИВИРОВАННОЙ НЕРАВНОВЕСНЫМ ЭЛЕКТРИЧЕСКИМ РАЗРЯДОМ, НА РАСПРОСТРАНЕНИЕ ВОЛНЫ ГОРЕНИЯ ПРИ ВЫСОКИХ ДАВЛЕНИЯХ В ЗАМКНУТОМ ОБЪЕМЕ</dc:title>
  <dc:creator>sato</dc:creator>
  <cp:lastModifiedBy>Сатунин</cp:lastModifiedBy>
  <cp:revision>1</cp:revision>
  <cp:lastPrinted>1601-01-01T00:00:00Z</cp:lastPrinted>
  <dcterms:created xsi:type="dcterms:W3CDTF">2018-02-17T18:56:00Z</dcterms:created>
  <dcterms:modified xsi:type="dcterms:W3CDTF">2018-02-17T18:59:00Z</dcterms:modified>
</cp:coreProperties>
</file>